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2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9"/>
        <w:gridCol w:w="12315"/>
      </w:tblGrid>
      <w:tr w:rsidR="009B7BCC" w:rsidRPr="002F2E9B" w:rsidTr="006C334E">
        <w:tc>
          <w:tcPr>
            <w:tcW w:w="1939" w:type="dxa"/>
            <w:shd w:val="clear" w:color="auto" w:fill="B6DDE8"/>
          </w:tcPr>
          <w:p w:rsidR="009B7BCC" w:rsidRPr="002F2E9B" w:rsidRDefault="009B7BCC" w:rsidP="006C334E">
            <w:pPr>
              <w:spacing w:before="40" w:after="4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Oś priorytetowa</w:t>
            </w:r>
          </w:p>
        </w:tc>
        <w:tc>
          <w:tcPr>
            <w:tcW w:w="12315" w:type="dxa"/>
            <w:shd w:val="clear" w:color="auto" w:fill="B6DDE8"/>
          </w:tcPr>
          <w:p w:rsidR="009B7BCC" w:rsidRPr="002F2E9B" w:rsidRDefault="009B7BCC" w:rsidP="006C334E">
            <w:pPr>
              <w:spacing w:after="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I Gospodarka, Innowacje, Nowoczesne Technologie</w:t>
            </w:r>
          </w:p>
        </w:tc>
      </w:tr>
      <w:tr w:rsidR="009B7BCC" w:rsidRPr="002F2E9B" w:rsidTr="006C334E">
        <w:tc>
          <w:tcPr>
            <w:tcW w:w="1939" w:type="dxa"/>
            <w:shd w:val="clear" w:color="auto" w:fill="B6DDE8"/>
          </w:tcPr>
          <w:p w:rsidR="009B7BCC" w:rsidRPr="002F2E9B" w:rsidRDefault="009B7BCC" w:rsidP="006C334E">
            <w:pPr>
              <w:spacing w:before="40" w:after="4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Priorytet Inwestycyjny</w:t>
            </w:r>
          </w:p>
        </w:tc>
        <w:tc>
          <w:tcPr>
            <w:tcW w:w="12315" w:type="dxa"/>
            <w:shd w:val="clear" w:color="auto" w:fill="B6DDE8"/>
          </w:tcPr>
          <w:p w:rsidR="009B7BCC" w:rsidRPr="002F2E9B" w:rsidRDefault="009B7BCC" w:rsidP="006C334E">
            <w:pPr>
              <w:spacing w:after="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3a Promowanie przedsiębiorczości, w szczególności poprzez ułatwianie gospodarczego wykorzystywania nowych pomysłów oraz sprzyjanie tworzeniu nowych firm, w tym również poprzez inkubatory przedsiębiorczości</w:t>
            </w:r>
          </w:p>
        </w:tc>
      </w:tr>
      <w:tr w:rsidR="009B7BCC" w:rsidRPr="002F2E9B" w:rsidTr="006C334E">
        <w:tc>
          <w:tcPr>
            <w:tcW w:w="1939" w:type="dxa"/>
            <w:shd w:val="clear" w:color="auto" w:fill="B6DDE8"/>
          </w:tcPr>
          <w:p w:rsidR="009B7BCC" w:rsidRPr="002F2E9B" w:rsidRDefault="009B7BCC" w:rsidP="006C334E">
            <w:pPr>
              <w:spacing w:before="40" w:after="4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Działanie</w:t>
            </w:r>
          </w:p>
        </w:tc>
        <w:tc>
          <w:tcPr>
            <w:tcW w:w="12315" w:type="dxa"/>
            <w:shd w:val="clear" w:color="auto" w:fill="B6DDE8"/>
          </w:tcPr>
          <w:p w:rsidR="009B7BCC" w:rsidRPr="002F2E9B" w:rsidRDefault="009B7BCC" w:rsidP="009B7BCC">
            <w:pPr>
              <w:spacing w:after="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 xml:space="preserve">1.12 Tworzenie i rozbudowa infrastruktury na rzecz rozwoju gospodarczego w ramach Strategii ZIT dla </w:t>
            </w:r>
            <w:proofErr w:type="spellStart"/>
            <w:r w:rsidRPr="002F2E9B">
              <w:rPr>
                <w:rFonts w:ascii="Myriad Pro" w:eastAsia="Times New Roman" w:hAnsi="Myriad Pro" w:cs="Arial"/>
                <w:sz w:val="20"/>
                <w:szCs w:val="20"/>
                <w:lang w:eastAsia="en-GB"/>
              </w:rPr>
              <w:t>Koszalińsko–Kołobrzesko–Białogardzkiego</w:t>
            </w:r>
            <w:proofErr w:type="spellEnd"/>
            <w:r w:rsidRPr="002F2E9B">
              <w:rPr>
                <w:rFonts w:ascii="Myriad Pro" w:eastAsia="Times New Roman" w:hAnsi="Myriad Pro" w:cs="Arial"/>
                <w:sz w:val="20"/>
                <w:szCs w:val="20"/>
                <w:lang w:eastAsia="en-GB"/>
              </w:rPr>
              <w:t xml:space="preserve"> Obszaru Funkcjonalnego</w:t>
            </w:r>
          </w:p>
        </w:tc>
      </w:tr>
      <w:tr w:rsidR="009B7BCC" w:rsidRPr="002F2E9B" w:rsidTr="006C334E">
        <w:tc>
          <w:tcPr>
            <w:tcW w:w="1939" w:type="dxa"/>
            <w:shd w:val="clear" w:color="auto" w:fill="B6DDE8"/>
          </w:tcPr>
          <w:p w:rsidR="009B7BCC" w:rsidRPr="002F2E9B" w:rsidRDefault="009B7BCC" w:rsidP="006C334E">
            <w:pPr>
              <w:spacing w:before="40" w:after="4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Typ projektu</w:t>
            </w:r>
          </w:p>
        </w:tc>
        <w:tc>
          <w:tcPr>
            <w:tcW w:w="12315" w:type="dxa"/>
            <w:shd w:val="clear" w:color="auto" w:fill="B6DDE8"/>
          </w:tcPr>
          <w:p w:rsidR="009B7BCC" w:rsidRPr="002F2E9B" w:rsidRDefault="009B7BCC" w:rsidP="006C334E">
            <w:pPr>
              <w:spacing w:before="40" w:after="40" w:line="240" w:lineRule="auto"/>
              <w:rPr>
                <w:rFonts w:ascii="Myriad Pro" w:eastAsia="Times New Roman" w:hAnsi="Myriad Pro" w:cs="Arial"/>
                <w:sz w:val="20"/>
                <w:szCs w:val="20"/>
                <w:lang w:eastAsia="en-GB"/>
              </w:rPr>
            </w:pPr>
            <w:r w:rsidRPr="002F2E9B">
              <w:rPr>
                <w:rFonts w:ascii="Myriad Pro" w:eastAsia="Times New Roman" w:hAnsi="Myriad Pro" w:cs="Arial"/>
                <w:sz w:val="20"/>
                <w:szCs w:val="20"/>
                <w:lang w:eastAsia="en-GB"/>
              </w:rPr>
              <w:t>Działania zwiększające atrakcyjność i dostępność stref inwestycyjnych.</w:t>
            </w:r>
          </w:p>
        </w:tc>
      </w:tr>
    </w:tbl>
    <w:p w:rsidR="009B7BCC" w:rsidRDefault="009B7BCC" w:rsidP="009B7BCC">
      <w:pPr>
        <w:spacing w:after="0" w:line="240" w:lineRule="auto"/>
        <w:rPr>
          <w:rFonts w:ascii="Myriad Pro" w:eastAsia="Times New Roman" w:hAnsi="Myriad Pro" w:cs="Times New Roman"/>
          <w:sz w:val="20"/>
          <w:szCs w:val="20"/>
        </w:rPr>
      </w:pPr>
    </w:p>
    <w:p w:rsidR="009B7BCC" w:rsidRDefault="009B7BCC" w:rsidP="009B7BCC">
      <w:pPr>
        <w:spacing w:after="0" w:line="240" w:lineRule="auto"/>
        <w:rPr>
          <w:rFonts w:ascii="Myriad Pro" w:eastAsia="Times New Roman" w:hAnsi="Myriad Pro" w:cs="Times New Roman"/>
          <w:sz w:val="20"/>
          <w:szCs w:val="20"/>
        </w:rPr>
      </w:pPr>
    </w:p>
    <w:p w:rsidR="009B7BCC" w:rsidRDefault="009B7BCC" w:rsidP="009B7BCC">
      <w:pPr>
        <w:spacing w:after="0" w:line="240" w:lineRule="auto"/>
        <w:rPr>
          <w:rFonts w:ascii="Myriad Pro" w:eastAsia="Times New Roman" w:hAnsi="Myriad Pro"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
        <w:gridCol w:w="2810"/>
        <w:gridCol w:w="4940"/>
        <w:gridCol w:w="5864"/>
      </w:tblGrid>
      <w:tr w:rsidR="009B7BCC" w:rsidRPr="002F2E9B" w:rsidTr="006C334E">
        <w:trPr>
          <w:trHeight w:val="236"/>
          <w:tblHeader/>
        </w:trPr>
        <w:tc>
          <w:tcPr>
            <w:tcW w:w="5000" w:type="pct"/>
            <w:gridSpan w:val="4"/>
            <w:shd w:val="clear" w:color="auto" w:fill="D9D9D9"/>
          </w:tcPr>
          <w:p w:rsidR="009B7BCC" w:rsidRPr="002F2E9B" w:rsidRDefault="009B7BCC" w:rsidP="006C334E">
            <w:pPr>
              <w:spacing w:after="0" w:line="240" w:lineRule="auto"/>
              <w:rPr>
                <w:rFonts w:ascii="Myriad Pro" w:eastAsia="Times New Roman" w:hAnsi="Myriad Pro" w:cs="Arial"/>
                <w:b/>
                <w:sz w:val="20"/>
                <w:szCs w:val="20"/>
              </w:rPr>
            </w:pPr>
            <w:r w:rsidRPr="002F2E9B">
              <w:rPr>
                <w:rFonts w:ascii="Myriad Pro" w:eastAsia="Times New Roman" w:hAnsi="Myriad Pro" w:cs="Arial"/>
                <w:b/>
                <w:sz w:val="20"/>
                <w:szCs w:val="20"/>
              </w:rPr>
              <w:t xml:space="preserve">Kryteria dopuszczalności </w:t>
            </w:r>
          </w:p>
        </w:tc>
      </w:tr>
      <w:tr w:rsidR="009B7BCC" w:rsidRPr="002F2E9B" w:rsidTr="006C334E">
        <w:trPr>
          <w:trHeight w:val="236"/>
          <w:tblHeader/>
        </w:trPr>
        <w:tc>
          <w:tcPr>
            <w:tcW w:w="21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Lp.</w:t>
            </w:r>
          </w:p>
        </w:tc>
        <w:tc>
          <w:tcPr>
            <w:tcW w:w="98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Nazwa kryterium</w:t>
            </w:r>
          </w:p>
        </w:tc>
        <w:tc>
          <w:tcPr>
            <w:tcW w:w="1737"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Definicja kryterium</w:t>
            </w:r>
          </w:p>
        </w:tc>
        <w:tc>
          <w:tcPr>
            <w:tcW w:w="2062"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Opis znaczenia kryterium</w:t>
            </w:r>
          </w:p>
        </w:tc>
      </w:tr>
      <w:tr w:rsidR="009B7BCC" w:rsidRPr="002F2E9B" w:rsidTr="006C334E">
        <w:trPr>
          <w:trHeight w:val="253"/>
          <w:tblHeader/>
        </w:trPr>
        <w:tc>
          <w:tcPr>
            <w:tcW w:w="213"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w:t>
            </w:r>
          </w:p>
        </w:tc>
        <w:tc>
          <w:tcPr>
            <w:tcW w:w="988"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w:t>
            </w:r>
          </w:p>
        </w:tc>
        <w:tc>
          <w:tcPr>
            <w:tcW w:w="1737"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w:t>
            </w:r>
          </w:p>
        </w:tc>
        <w:tc>
          <w:tcPr>
            <w:tcW w:w="2062"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4</w:t>
            </w:r>
          </w:p>
        </w:tc>
      </w:tr>
      <w:tr w:rsidR="009B7BCC" w:rsidRPr="002F2E9B" w:rsidTr="006C334E">
        <w:trPr>
          <w:trHeight w:val="1260"/>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1.1</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Zgodność z celem szczegółowym i rezultatami priorytetu inwestycyjnego</w:t>
            </w:r>
          </w:p>
          <w:p w:rsidR="009B7BCC" w:rsidRPr="002F2E9B" w:rsidRDefault="009B7BCC" w:rsidP="006C334E">
            <w:pPr>
              <w:spacing w:after="0" w:line="240" w:lineRule="auto"/>
              <w:rPr>
                <w:rFonts w:ascii="Myriad Pro" w:eastAsia="Times New Roman" w:hAnsi="Myriad Pro" w:cs="Arial"/>
                <w:sz w:val="20"/>
                <w:szCs w:val="20"/>
              </w:rPr>
            </w:pP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 jest zgodny z celem działania oraz wpływa na osiągnięcie wskaźników rezultatu określonych w SOOP.</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778"/>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1.2</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Zgodność z typem  projektu</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Projekt jest zgodny z typem projektów wskazanych w regulaminie naboru. Charakter przewidywanych działań, wskaźniki produktu, wydatki </w:t>
            </w:r>
            <w:proofErr w:type="spellStart"/>
            <w:r w:rsidRPr="002F2E9B">
              <w:rPr>
                <w:rFonts w:ascii="Myriad Pro" w:eastAsia="Times New Roman" w:hAnsi="Myriad Pro" w:cs="Arial"/>
                <w:sz w:val="20"/>
                <w:szCs w:val="20"/>
              </w:rPr>
              <w:t>kwalifikowalne</w:t>
            </w:r>
            <w:proofErr w:type="spellEnd"/>
            <w:r w:rsidRPr="002F2E9B">
              <w:rPr>
                <w:rFonts w:ascii="Myriad Pro" w:eastAsia="Times New Roman" w:hAnsi="Myriad Pro" w:cs="Arial"/>
                <w:sz w:val="20"/>
                <w:szCs w:val="20"/>
              </w:rPr>
              <w:t xml:space="preserve"> dają pewność, że mamy do czynienia z typem projektu zaplanowanym do wsparcia w ramach działania 1.12 .</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758"/>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1.3</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Zasadność realizacji projektu</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Potrzeba realizacji danego projektu jest zrozumiała i jasno wynika ze zidentyfikowanych potrzeb inwestycyjnych Wnioskodawcy.</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Proponowana koncepcja tworzenia lub rozbudowy infrastruktury na rzecz rozwoju gospodarczego powstała w związku ze zintensyfikowanym i udokumentowanym zapotrzebowaniem firm poszukujących lokalizacji do prowadzenia działalności na danym terenie</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Infrastruktura tworzona w ramach projektu nie będzie powielała dostępnej na terenie KKBOF</w:t>
            </w:r>
            <w:r w:rsidRPr="002F2E9B">
              <w:rPr>
                <w:rFonts w:ascii="Myriad Pro" w:eastAsia="Times New Roman" w:hAnsi="Myriad Pro" w:cs="MyriadPro-Regular"/>
                <w:sz w:val="20"/>
                <w:szCs w:val="20"/>
              </w:rPr>
              <w:t xml:space="preserve"> </w:t>
            </w:r>
            <w:r w:rsidRPr="002F2E9B">
              <w:rPr>
                <w:rFonts w:ascii="Myriad Pro" w:eastAsia="Times New Roman" w:hAnsi="Myriad Pro" w:cs="Arial"/>
                <w:sz w:val="20"/>
                <w:szCs w:val="20"/>
              </w:rPr>
              <w:t>infrastruktury, chyba że limit dostępnej powierzchni został wyczerpany lub inwestycja wynika ze specyficznych potrzeb zainteresowanych inwestorów.</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 będzie rozwiązywać istotne problemy dostępności infrastruktury na rzecz rozwoju gospodarczego.</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Infrastruktura powstała w wyniku realizacji projektu stanowić będzie atrakcyjną strefę inwestycyjną do lokowania nowych inwestycji przedsiębiorstw, nowych pomysłów biznesowych oraz sprzyjać będą tworzeniu nowych miejsc pracy.  Projekt przyczyni się do zwiększenia liczby inwestycji podejmowanych przez MSP.</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Cele projektu są poprawnie określone i zbieżne z analizą potrzeb.  </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tcBorders>
              <w:bottom w:val="single" w:sz="4" w:space="0" w:color="auto"/>
            </w:tcBorders>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1.4</w:t>
            </w:r>
          </w:p>
        </w:tc>
        <w:tc>
          <w:tcPr>
            <w:tcW w:w="988" w:type="pct"/>
            <w:tcBorders>
              <w:bottom w:val="single" w:sz="4" w:space="0" w:color="auto"/>
            </w:tcBorders>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Zgodność z obszarem (terytorialnie) objętym wsparciem w ramach Programu</w:t>
            </w:r>
          </w:p>
        </w:tc>
        <w:tc>
          <w:tcPr>
            <w:tcW w:w="1737" w:type="pct"/>
            <w:tcBorders>
              <w:bottom w:val="single" w:sz="4" w:space="0" w:color="auto"/>
            </w:tcBorders>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Projekt jest realizowany na obszarze określonym w SOOP i Regulaminie naboru. </w:t>
            </w:r>
          </w:p>
          <w:p w:rsidR="009B7BCC" w:rsidRPr="002F2E9B" w:rsidRDefault="009B7BCC" w:rsidP="006C334E">
            <w:pPr>
              <w:spacing w:after="0" w:line="240" w:lineRule="auto"/>
              <w:rPr>
                <w:rFonts w:ascii="Myriad Pro" w:eastAsia="Times New Roman" w:hAnsi="Myriad Pro" w:cs="Arial"/>
                <w:sz w:val="20"/>
                <w:szCs w:val="20"/>
              </w:rPr>
            </w:pPr>
          </w:p>
        </w:tc>
        <w:tc>
          <w:tcPr>
            <w:tcW w:w="2062" w:type="pct"/>
            <w:tcBorders>
              <w:bottom w:val="single" w:sz="4" w:space="0" w:color="auto"/>
            </w:tcBorders>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1.5</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Terminowość złożenia wniosku </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Wniosek złożono w terminie określonym w Regulaminie naboru.</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1.6</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Zgodność z zasadami horyzontalnymi</w:t>
            </w:r>
          </w:p>
        </w:tc>
        <w:tc>
          <w:tcPr>
            <w:tcW w:w="1737" w:type="pct"/>
            <w:shd w:val="clear" w:color="auto" w:fill="FFFFFF"/>
          </w:tcPr>
          <w:p w:rsidR="009B7BCC"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 jest zgodny z właściwymi politykami i zasadami wspólnotowymi:</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a) zrównoważonego rozwoju,</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b) promowania i realizacji zasady równości szans i niedyskryminacji, w tym. m. in. budowanie infrastruktury w zgodzie z zasadą uniwersalnego projektowania, tj.</w:t>
            </w:r>
            <w:r w:rsidRPr="002F2E9B">
              <w:rPr>
                <w:rFonts w:ascii="Myriad Pro" w:eastAsia="Times New Roman" w:hAnsi="Myriad Pro" w:cs="Arial"/>
                <w:sz w:val="20"/>
                <w:szCs w:val="20"/>
              </w:rPr>
              <w:br/>
              <w:t xml:space="preserve"> w taki sposób, by mogła być użyta przez wszystkich </w:t>
            </w:r>
            <w:r w:rsidRPr="002F2E9B">
              <w:rPr>
                <w:rFonts w:ascii="Myriad Pro" w:eastAsia="Times New Roman" w:hAnsi="Myriad Pro" w:cs="Arial"/>
                <w:sz w:val="20"/>
                <w:szCs w:val="20"/>
              </w:rPr>
              <w:lastRenderedPageBreak/>
              <w:t>ludzi, w możliwie szerokim zakresie, bez potrzeby dodatkowej adaptacji.</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1.7</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proofErr w:type="spellStart"/>
            <w:r w:rsidRPr="002F2E9B">
              <w:rPr>
                <w:rFonts w:ascii="Myriad Pro" w:eastAsia="Times New Roman" w:hAnsi="Myriad Pro" w:cs="Arial"/>
                <w:sz w:val="20"/>
                <w:szCs w:val="20"/>
              </w:rPr>
              <w:t>Kwalifikowalność</w:t>
            </w:r>
            <w:proofErr w:type="spellEnd"/>
            <w:r w:rsidRPr="002F2E9B">
              <w:rPr>
                <w:rFonts w:ascii="Myriad Pro" w:eastAsia="Times New Roman" w:hAnsi="Myriad Pro" w:cs="Arial"/>
                <w:sz w:val="20"/>
                <w:szCs w:val="20"/>
              </w:rPr>
              <w:t xml:space="preserve">  Beneficjenta</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Wnioskodawca należy do kategorii beneficjentów uprawnionych do ubiegania się o dofinansowanie (wymienionych w regulaminie naboru). </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Wnioskodawca nie jest wykluczony z możliwości dofinansowania lub wobec wnioskodawcy nie orzeczono zakazu dostępu do środków funduszy europejskich na podstawie odrębnych przepisów.</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Wnioskodawca, bądź członek lub reprezentant organu zarządzającego (wykonawczego), wspólnik lub kierownik jednostki organizacyjnej wnioskodawcy nie został skazany prawomocnym wyrokiem za przestępstwo: składania fałszywych zeznań, przekupstwa, przeciwko mieniu, wiarygodności dokumentów, obrotem pieniędzmi i papierami wartościowymi, przeciwko systemowi bankowemu, przestępstwo karnoskarbowe albo inne związane z wykonywaniem działalności gospodarczej lub popełnione w celu osiągnięcia korzyści majątkowych.</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1.8</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Zgodność z wymogami pomocy publicznej</w:t>
            </w:r>
          </w:p>
        </w:tc>
        <w:tc>
          <w:tcPr>
            <w:tcW w:w="1737" w:type="pct"/>
            <w:shd w:val="clear" w:color="auto" w:fill="FFFFFF"/>
          </w:tcPr>
          <w:p w:rsidR="009B7BCC" w:rsidRPr="002F2E9B" w:rsidRDefault="009B7BCC" w:rsidP="006C334E">
            <w:pPr>
              <w:spacing w:before="40" w:after="40" w:line="240" w:lineRule="auto"/>
              <w:rPr>
                <w:rFonts w:ascii="Myriad Pro" w:eastAsia="Times New Roman" w:hAnsi="Myriad Pro" w:cs="Arial"/>
                <w:strike/>
                <w:sz w:val="20"/>
                <w:szCs w:val="20"/>
              </w:rPr>
            </w:pPr>
            <w:r w:rsidRPr="002F2E9B">
              <w:rPr>
                <w:rFonts w:ascii="Myriad Pro" w:eastAsia="Times New Roman" w:hAnsi="Myriad Pro" w:cs="Arial"/>
                <w:sz w:val="20"/>
                <w:szCs w:val="20"/>
              </w:rPr>
              <w:t xml:space="preserve">Wsparcie  nie nosi znamion pomocy publicznej (w oparciu o przesłanki występowania pomocy publicznej zawarte w art. 107 </w:t>
            </w:r>
            <w:proofErr w:type="spellStart"/>
            <w:r w:rsidRPr="002F2E9B">
              <w:rPr>
                <w:rFonts w:ascii="Myriad Pro" w:eastAsia="Times New Roman" w:hAnsi="Myriad Pro" w:cs="Arial"/>
                <w:sz w:val="20"/>
                <w:szCs w:val="20"/>
              </w:rPr>
              <w:t>ToFUE</w:t>
            </w:r>
            <w:proofErr w:type="spellEnd"/>
            <w:r w:rsidRPr="002F2E9B">
              <w:rPr>
                <w:rFonts w:ascii="Myriad Pro" w:eastAsia="Times New Roman" w:hAnsi="Myriad Pro" w:cs="Arial"/>
                <w:sz w:val="20"/>
                <w:szCs w:val="20"/>
              </w:rPr>
              <w:t>).</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before="40" w:after="40" w:line="240" w:lineRule="auto"/>
              <w:contextualSpacing/>
              <w:rPr>
                <w:rFonts w:ascii="Myriad Pro" w:eastAsia="Times New Roman" w:hAnsi="Myriad Pro" w:cs="Arial"/>
                <w:sz w:val="20"/>
                <w:szCs w:val="20"/>
              </w:rPr>
            </w:pPr>
            <w:r w:rsidRPr="002F2E9B">
              <w:rPr>
                <w:rFonts w:ascii="Myriad Pro" w:eastAsia="Times New Roman" w:hAnsi="Myriad Pro" w:cs="Arial"/>
                <w:sz w:val="20"/>
                <w:szCs w:val="20"/>
              </w:rPr>
              <w:t>1.9</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Calibri" w:hAnsi="Myriad Pro" w:cs="Arial"/>
                <w:sz w:val="20"/>
                <w:szCs w:val="20"/>
              </w:rPr>
              <w:t>Zgodność realizacji projektu przed dniem złożenia wniosku o dofinansowanie z przepisami prawa</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Jeżeli projekt rozpoczął się przed dniem złożenia wniosku o dofinansowanie, to przestrzegano obowiązujących przepisów prawa dotyczących danego projektu, zgodnie z art. 125 ust. 3 lit. e) Rozporządzenia Parlamentu i Rady (UE) nr 1303/2013 z dnia 17 grudnia 2013 r. </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Kryterium nie dotyczy projektów, których realizacja nie rozpoczęła się przed dniem złożenia wniosku o dofinansowanie.</w:t>
            </w:r>
          </w:p>
        </w:tc>
        <w:tc>
          <w:tcPr>
            <w:tcW w:w="2062" w:type="pct"/>
            <w:shd w:val="clear" w:color="auto" w:fill="FFFFFF"/>
          </w:tcPr>
          <w:p w:rsidR="009B7BCC" w:rsidRPr="002F2E9B" w:rsidRDefault="009B7BCC" w:rsidP="006C334E">
            <w:pPr>
              <w:spacing w:after="0" w:line="240" w:lineRule="auto"/>
              <w:rPr>
                <w:rFonts w:ascii="Myriad Pro" w:eastAsia="Calibri" w:hAnsi="Myriad Pro" w:cs="Arial"/>
                <w:sz w:val="20"/>
                <w:szCs w:val="20"/>
              </w:rPr>
            </w:pPr>
            <w:r w:rsidRPr="002F2E9B">
              <w:rPr>
                <w:rFonts w:ascii="Myriad Pro" w:eastAsia="Calibri"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Calibri" w:hAnsi="Myriad Pro" w:cs="Arial"/>
                <w:sz w:val="20"/>
                <w:szCs w:val="20"/>
              </w:rPr>
            </w:pPr>
            <w:r w:rsidRPr="002F2E9B">
              <w:rPr>
                <w:rFonts w:ascii="Myriad Pro" w:eastAsia="Calibri"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Calibri" w:hAnsi="Myriad Pro" w:cs="Arial"/>
                <w:sz w:val="20"/>
                <w:szCs w:val="20"/>
              </w:rPr>
              <w:t xml:space="preserve">Ocena spełniania kryterium polega na przypisaniu wartości logicznych „tak”, „nie”, „nie dotyczy”. </w:t>
            </w:r>
          </w:p>
        </w:tc>
      </w:tr>
      <w:tr w:rsidR="009B7BCC" w:rsidRPr="002F2E9B" w:rsidTr="006C334E">
        <w:trPr>
          <w:trHeight w:val="145"/>
        </w:trPr>
        <w:tc>
          <w:tcPr>
            <w:tcW w:w="213" w:type="pct"/>
            <w:shd w:val="clear" w:color="auto" w:fill="FFFFFF"/>
          </w:tcPr>
          <w:p w:rsidR="009B7BCC" w:rsidRPr="002F2E9B" w:rsidRDefault="009B7BCC" w:rsidP="006C334E">
            <w:pPr>
              <w:spacing w:before="40" w:after="40" w:line="240" w:lineRule="auto"/>
              <w:contextualSpacing/>
              <w:rPr>
                <w:rFonts w:ascii="Myriad Pro" w:eastAsia="Times New Roman" w:hAnsi="Myriad Pro" w:cs="Arial"/>
                <w:sz w:val="20"/>
                <w:szCs w:val="20"/>
              </w:rPr>
            </w:pPr>
            <w:r w:rsidRPr="002F2E9B">
              <w:rPr>
                <w:rFonts w:ascii="Myriad Pro" w:eastAsia="Times New Roman" w:hAnsi="Myriad Pro" w:cs="Arial"/>
                <w:sz w:val="20"/>
                <w:szCs w:val="20"/>
              </w:rPr>
              <w:lastRenderedPageBreak/>
              <w:t>1.10</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proofErr w:type="spellStart"/>
            <w:r w:rsidRPr="002F2E9B">
              <w:rPr>
                <w:rFonts w:ascii="Myriad Pro" w:eastAsia="Times New Roman" w:hAnsi="Myriad Pro" w:cs="Arial"/>
                <w:sz w:val="20"/>
                <w:szCs w:val="20"/>
              </w:rPr>
              <w:t>Kwalifikowalność</w:t>
            </w:r>
            <w:proofErr w:type="spellEnd"/>
            <w:r w:rsidRPr="002F2E9B">
              <w:rPr>
                <w:rFonts w:ascii="Myriad Pro" w:eastAsia="Times New Roman" w:hAnsi="Myriad Pro" w:cs="Arial"/>
                <w:sz w:val="20"/>
                <w:szCs w:val="20"/>
              </w:rPr>
              <w:t xml:space="preserve">  projektu </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Operacja wybrana do dofinansowania z funduszy nie obejmuje przedsięwzięcia będącego częścią operacji, która została objęta lub powinna była zostać objęta procedurą odzyskiwania zgodnie z art. 71 Rozporządzenia Parlamentu Europejskiego i Rady (UE) nr 1303/2013 z dnia 17 grudnia 2013 r. w następstwie przeniesienia działalności produkcyjnej poza obszar objęty Programem.</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Przedmiot projektu nie dotyczy rodzajów działalności wykluczonych z możliwości uzyskania wsparcia w ramach działania 1.12 zgodnie z zapisami Regulaminu naboru.</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 jest wskazany na liście projektów priorytetowych w ramach Strategii Zintegrowanych Inwestycji Terytorialnych Koszalińsko – Kołobrzesko – Białogardzkiego Obszaru Funkcjonalnego.</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Przedmiot projektu jest zgodny z uwarunkowaniami wskazanymi w opisie działania w SOOP i w Regulaminie naboru. </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Dla terenów inwestycyjnych będących przedmiotem projektu zostanie zapewniony właściwy dostęp. </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before="40" w:after="40"/>
              <w:contextualSpacing/>
              <w:rPr>
                <w:rFonts w:ascii="Myriad Pro" w:eastAsia="Times New Roman" w:hAnsi="Myriad Pro" w:cs="Arial"/>
                <w:sz w:val="20"/>
                <w:szCs w:val="20"/>
              </w:rPr>
            </w:pPr>
            <w:r w:rsidRPr="002F2E9B">
              <w:rPr>
                <w:rFonts w:ascii="Myriad Pro" w:eastAsia="Times New Roman" w:hAnsi="Myriad Pro" w:cs="Arial"/>
                <w:sz w:val="20"/>
                <w:szCs w:val="20"/>
              </w:rPr>
              <w:t>1.11</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Gotowość do uruchomienia funkcjonowania infrastruktury po zakończeniu projektu </w:t>
            </w:r>
          </w:p>
        </w:tc>
        <w:tc>
          <w:tcPr>
            <w:tcW w:w="1737"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Możliwe jest korzystanie z produktów wytworzonych w wyniku realizacji projektu bezpośrednio po jego zakończeniu. Opis projektu wyraźnie wskazuje na to, że bezpośrednio po zakończeniu realizacji projektu możliwe jest wykorzystanie pełnej funkcjonalności infrastruktury i nie wymaga dodatkowych działań (innych projektów itp.) w celu jej pełnego wykorzystania.</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Wnioskodawca posiada bądź wie, w jaki sposób </w:t>
            </w:r>
            <w:r w:rsidRPr="002F2E9B">
              <w:rPr>
                <w:rFonts w:ascii="Myriad Pro" w:eastAsia="Times New Roman" w:hAnsi="Myriad Pro" w:cs="Arial"/>
                <w:sz w:val="20"/>
                <w:szCs w:val="20"/>
              </w:rPr>
              <w:lastRenderedPageBreak/>
              <w:t>zapewni, zasoby techniczne, kadrowe i wiedzę gwarantujące uruchomienie funkcjonowania infrastruktury po zakończeniu projektu.</w:t>
            </w:r>
          </w:p>
        </w:tc>
        <w:tc>
          <w:tcPr>
            <w:tcW w:w="2062"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45"/>
        </w:trPr>
        <w:tc>
          <w:tcPr>
            <w:tcW w:w="213" w:type="pct"/>
            <w:shd w:val="clear" w:color="auto" w:fill="FFFFFF"/>
          </w:tcPr>
          <w:p w:rsidR="009B7BCC" w:rsidRPr="002F2E9B" w:rsidRDefault="009B7BCC" w:rsidP="006C334E">
            <w:pPr>
              <w:spacing w:before="40" w:after="40"/>
              <w:contextualSpacing/>
              <w:rPr>
                <w:rFonts w:ascii="Myriad Pro" w:eastAsia="Times New Roman" w:hAnsi="Myriad Pro" w:cs="Arial"/>
                <w:sz w:val="20"/>
                <w:szCs w:val="20"/>
              </w:rPr>
            </w:pPr>
            <w:r>
              <w:rPr>
                <w:rFonts w:ascii="Myriad Pro" w:eastAsia="Times New Roman" w:hAnsi="Myriad Pro" w:cs="Arial"/>
                <w:sz w:val="20"/>
                <w:szCs w:val="20"/>
              </w:rPr>
              <w:lastRenderedPageBreak/>
              <w:t>1.12</w:t>
            </w:r>
          </w:p>
        </w:tc>
        <w:tc>
          <w:tcPr>
            <w:tcW w:w="988" w:type="pct"/>
            <w:shd w:val="clear" w:color="auto" w:fill="FFFFFF"/>
          </w:tcPr>
          <w:p w:rsidR="009B7BCC" w:rsidRPr="002F2E9B"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Zgodność ze Strategią Zintegrowanych Inwestycji Terytorialnych dla Koszalińsko – Kołobrzesko – Białogardzkiego Obszaru Funkcjonalnego</w:t>
            </w:r>
          </w:p>
        </w:tc>
        <w:tc>
          <w:tcPr>
            <w:tcW w:w="1737" w:type="pct"/>
            <w:shd w:val="clear" w:color="auto" w:fill="FFFFFF"/>
          </w:tcPr>
          <w:p w:rsidR="009B7BCC" w:rsidRPr="00437826"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W ramach kryterium ocenie podlega zgodność projektu z założeniami i kierunkami rozwoju przyjętymi w Strategii Zintegrowanych Inwestycji Terytorialnych (ZIT) oraz wpływ projektu na wzmocnienie integralności i funkcjonalności Koszalińsko – Kołobrzesko – Białogardzkiego Obszaru Funkcjonalnego (KKBOF). Na kryterium składa się ocena spełnienia każdego z następujących warunków:</w:t>
            </w:r>
          </w:p>
          <w:p w:rsidR="009B7BCC" w:rsidRPr="00437826" w:rsidRDefault="009B7BCC" w:rsidP="006C334E">
            <w:pPr>
              <w:spacing w:after="0" w:line="240" w:lineRule="auto"/>
              <w:rPr>
                <w:rFonts w:ascii="Myriad Pro" w:eastAsia="Times New Roman" w:hAnsi="Myriad Pro" w:cs="Arial"/>
                <w:sz w:val="20"/>
                <w:szCs w:val="20"/>
              </w:rPr>
            </w:pPr>
          </w:p>
          <w:p w:rsidR="009B7BCC" w:rsidRPr="00437826"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(1)</w:t>
            </w:r>
            <w:r w:rsidRPr="00437826">
              <w:rPr>
                <w:rFonts w:ascii="Myriad Pro" w:eastAsia="Times New Roman" w:hAnsi="Myriad Pro" w:cs="Arial"/>
                <w:sz w:val="20"/>
                <w:szCs w:val="20"/>
              </w:rPr>
              <w:tab/>
              <w:t>Projekt bezpośrednio przyczynia się do realizacji adekwatnego celu / działania Strategii ZIT.</w:t>
            </w:r>
          </w:p>
          <w:p w:rsidR="009B7BCC" w:rsidRPr="00437826" w:rsidRDefault="009B7BCC" w:rsidP="006C334E">
            <w:pPr>
              <w:spacing w:after="0" w:line="240" w:lineRule="auto"/>
              <w:rPr>
                <w:rFonts w:ascii="Myriad Pro" w:eastAsia="Times New Roman" w:hAnsi="Myriad Pro" w:cs="Arial"/>
                <w:sz w:val="20"/>
                <w:szCs w:val="20"/>
              </w:rPr>
            </w:pPr>
          </w:p>
          <w:p w:rsidR="009B7BCC" w:rsidRPr="00437826"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(2)</w:t>
            </w:r>
            <w:r w:rsidRPr="00437826">
              <w:rPr>
                <w:rFonts w:ascii="Myriad Pro" w:eastAsia="Times New Roman" w:hAnsi="Myriad Pro" w:cs="Arial"/>
                <w:sz w:val="20"/>
                <w:szCs w:val="20"/>
              </w:rPr>
              <w:tab/>
              <w:t xml:space="preserve">Realizacja projektu przyczyni się </w:t>
            </w:r>
            <w:r>
              <w:rPr>
                <w:rFonts w:ascii="Myriad Pro" w:eastAsia="Times New Roman" w:hAnsi="Myriad Pro" w:cs="Arial"/>
                <w:sz w:val="20"/>
                <w:szCs w:val="20"/>
              </w:rPr>
              <w:t>do</w:t>
            </w:r>
            <w:r w:rsidRPr="00437826">
              <w:rPr>
                <w:rFonts w:ascii="Myriad Pro" w:eastAsia="Times New Roman" w:hAnsi="Myriad Pro" w:cs="Arial"/>
                <w:sz w:val="20"/>
                <w:szCs w:val="20"/>
              </w:rPr>
              <w:t xml:space="preserve"> osiągnięci</w:t>
            </w:r>
            <w:r>
              <w:rPr>
                <w:rFonts w:ascii="Myriad Pro" w:eastAsia="Times New Roman" w:hAnsi="Myriad Pro" w:cs="Arial"/>
                <w:sz w:val="20"/>
                <w:szCs w:val="20"/>
              </w:rPr>
              <w:t xml:space="preserve">a </w:t>
            </w:r>
            <w:r w:rsidRPr="00437826">
              <w:rPr>
                <w:rFonts w:ascii="Myriad Pro" w:eastAsia="Times New Roman" w:hAnsi="Myriad Pro" w:cs="Arial"/>
                <w:sz w:val="20"/>
                <w:szCs w:val="20"/>
              </w:rPr>
              <w:t>wartości docelowej wskaźnika, adekwatnego dla danego typu projektu  i celu / działania Strategii ZIT.</w:t>
            </w:r>
          </w:p>
          <w:p w:rsidR="009B7BCC" w:rsidRPr="00437826"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(3)</w:t>
            </w:r>
            <w:r w:rsidRPr="00437826">
              <w:rPr>
                <w:rFonts w:ascii="Myriad Pro" w:eastAsia="Times New Roman" w:hAnsi="Myriad Pro" w:cs="Arial"/>
                <w:sz w:val="20"/>
                <w:szCs w:val="20"/>
              </w:rPr>
              <w:tab/>
              <w:t>Projekt przyczynia się do wzmocnienia integralności i funkcjonalności KKBOF  –  projekt jest zintegrowany/ komplementarny z innymi przedsięwzięciami zrealizowanymi, trwającymi lub zaplanowanymi do realizacji w ramach Strategii ZIT.</w:t>
            </w:r>
          </w:p>
        </w:tc>
        <w:tc>
          <w:tcPr>
            <w:tcW w:w="2062" w:type="pct"/>
            <w:shd w:val="clear" w:color="auto" w:fill="FFFFFF"/>
          </w:tcPr>
          <w:p w:rsidR="009B7BCC" w:rsidRPr="00437826"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Spełnienie kryterium jest konieczne do przyznania dofinansowania.</w:t>
            </w:r>
          </w:p>
          <w:p w:rsidR="009B7BCC" w:rsidRPr="00437826"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437826">
              <w:rPr>
                <w:rFonts w:ascii="Myriad Pro" w:eastAsia="Times New Roman" w:hAnsi="Myriad Pro" w:cs="Arial"/>
                <w:sz w:val="20"/>
                <w:szCs w:val="20"/>
              </w:rPr>
              <w:t>Ocena spełniania kryterium polega na przypisaniu wartości logicznych „tak”, „nie”.</w:t>
            </w:r>
          </w:p>
        </w:tc>
      </w:tr>
    </w:tbl>
    <w:p w:rsidR="009B7BCC" w:rsidRDefault="009B7BCC" w:rsidP="009B7BCC">
      <w:pPr>
        <w:spacing w:after="0" w:line="240" w:lineRule="auto"/>
        <w:rPr>
          <w:rFonts w:ascii="Myriad Pro" w:eastAsia="Times New Roman" w:hAnsi="Myriad Pro" w:cs="Times New Roman"/>
          <w:sz w:val="20"/>
          <w:szCs w:val="20"/>
        </w:rPr>
      </w:pPr>
    </w:p>
    <w:p w:rsidR="009B7BCC" w:rsidRDefault="009B7BCC" w:rsidP="009B7BCC">
      <w:pPr>
        <w:spacing w:after="0" w:line="240" w:lineRule="auto"/>
        <w:rPr>
          <w:rFonts w:ascii="Myriad Pro" w:eastAsia="Times New Roman" w:hAnsi="Myriad Pro" w:cs="Times New Roman"/>
          <w:sz w:val="20"/>
          <w:szCs w:val="20"/>
        </w:rPr>
      </w:pPr>
    </w:p>
    <w:tbl>
      <w:tblPr>
        <w:tblpPr w:leftFromText="141" w:rightFromText="141" w:vertAnchor="text" w:horzAnchor="margin" w:tblpY="-52"/>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2898"/>
        <w:gridCol w:w="5133"/>
        <w:gridCol w:w="5583"/>
      </w:tblGrid>
      <w:tr w:rsidR="009B7BCC" w:rsidRPr="002F2E9B" w:rsidTr="006C334E">
        <w:trPr>
          <w:tblHeader/>
        </w:trPr>
        <w:tc>
          <w:tcPr>
            <w:tcW w:w="5000" w:type="pct"/>
            <w:gridSpan w:val="4"/>
            <w:shd w:val="clear" w:color="auto" w:fill="D9D9D9"/>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b/>
                <w:sz w:val="20"/>
                <w:szCs w:val="20"/>
              </w:rPr>
              <w:lastRenderedPageBreak/>
              <w:t>Kryteria administracyjności</w:t>
            </w:r>
          </w:p>
        </w:tc>
      </w:tr>
      <w:tr w:rsidR="009B7BCC" w:rsidRPr="002F2E9B" w:rsidTr="006C334E">
        <w:trPr>
          <w:tblHeader/>
        </w:trPr>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Lp.</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Nazwa kryterium</w:t>
            </w:r>
          </w:p>
        </w:tc>
        <w:tc>
          <w:tcPr>
            <w:tcW w:w="179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Definicja kryterium</w:t>
            </w: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Opis znaczenia kryterium</w:t>
            </w:r>
          </w:p>
        </w:tc>
      </w:tr>
      <w:tr w:rsidR="009B7BCC" w:rsidRPr="002F2E9B" w:rsidTr="006C334E">
        <w:trPr>
          <w:trHeight w:val="419"/>
          <w:tblHeader/>
        </w:trPr>
        <w:tc>
          <w:tcPr>
            <w:tcW w:w="250"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w:t>
            </w:r>
          </w:p>
        </w:tc>
        <w:tc>
          <w:tcPr>
            <w:tcW w:w="1011"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w:t>
            </w:r>
          </w:p>
        </w:tc>
        <w:tc>
          <w:tcPr>
            <w:tcW w:w="1791"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w:t>
            </w:r>
          </w:p>
        </w:tc>
        <w:tc>
          <w:tcPr>
            <w:tcW w:w="1948" w:type="pct"/>
            <w:tcBorders>
              <w:bottom w:val="single" w:sz="4" w:space="0" w:color="auto"/>
            </w:tcBorders>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4</w:t>
            </w:r>
          </w:p>
        </w:tc>
      </w:tr>
      <w:tr w:rsidR="009B7BCC" w:rsidRPr="002F2E9B" w:rsidTr="006C334E">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2.1</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Poprawność i kompletność wniosku</w:t>
            </w:r>
          </w:p>
        </w:tc>
        <w:tc>
          <w:tcPr>
            <w:tcW w:w="1791" w:type="pct"/>
            <w:shd w:val="clear" w:color="auto" w:fill="auto"/>
          </w:tcPr>
          <w:p w:rsidR="009B7BCC" w:rsidRPr="002F2E9B" w:rsidRDefault="009B7BCC" w:rsidP="006C334E">
            <w:pPr>
              <w:spacing w:before="40" w:after="4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Wniosek został sporządzony oraz złożony zgodnie z Regulaminem naboru, w tym w szczególności z obowiązującą Instrukcją wypełnienia wniosku o dofinansowanie. </w:t>
            </w:r>
          </w:p>
          <w:p w:rsidR="009B7BCC" w:rsidRPr="002F2E9B" w:rsidRDefault="009B7BCC" w:rsidP="006C334E">
            <w:pPr>
              <w:spacing w:before="40" w:after="40" w:line="240" w:lineRule="auto"/>
              <w:rPr>
                <w:rFonts w:ascii="Myriad Pro" w:eastAsia="Times New Roman" w:hAnsi="Myriad Pro" w:cs="Arial"/>
                <w:sz w:val="20"/>
                <w:szCs w:val="20"/>
              </w:rPr>
            </w:pPr>
            <w:r w:rsidRPr="002F2E9B">
              <w:rPr>
                <w:rFonts w:ascii="Myriad Pro" w:eastAsia="Times New Roman" w:hAnsi="Myriad Pro" w:cs="Arial"/>
                <w:sz w:val="20"/>
                <w:szCs w:val="20"/>
              </w:rPr>
              <w:t>Wniosek zawiera szczegółowe opisy dotyczące produktów lub usług, które mają być dostarczone w ramach projektu, plan finansowy oraz termin realizacji.</w:t>
            </w:r>
          </w:p>
          <w:p w:rsidR="009B7BCC" w:rsidRPr="002F2E9B" w:rsidRDefault="009B7BCC" w:rsidP="006C334E">
            <w:pPr>
              <w:spacing w:before="40" w:after="40" w:line="240" w:lineRule="auto"/>
              <w:rPr>
                <w:rFonts w:ascii="Myriad Pro" w:eastAsia="Times New Roman" w:hAnsi="Myriad Pro" w:cs="Arial"/>
                <w:strike/>
                <w:sz w:val="20"/>
                <w:szCs w:val="20"/>
              </w:rPr>
            </w:pPr>
            <w:r w:rsidRPr="002F2E9B">
              <w:rPr>
                <w:rFonts w:ascii="Myriad Pro" w:eastAsia="Times New Roman" w:hAnsi="Myriad Pro" w:cs="Arial"/>
                <w:sz w:val="20"/>
                <w:szCs w:val="20"/>
              </w:rPr>
              <w:t xml:space="preserve">Wszystkie dane Wnioskodawcy są zgodne z danymi podanymi w jego dokumentach rejestrowych lub w statucie. </w:t>
            </w:r>
          </w:p>
          <w:p w:rsidR="009B7BCC" w:rsidRPr="006C59D5" w:rsidRDefault="009B7BCC" w:rsidP="006C334E">
            <w:pPr>
              <w:pStyle w:val="Tekstkomentarza"/>
              <w:spacing w:after="0"/>
              <w:rPr>
                <w:rFonts w:ascii="Myriad Pro" w:eastAsia="Calibri" w:hAnsi="Myriad Pro" w:cs="Arial"/>
              </w:rPr>
            </w:pPr>
            <w:r w:rsidRPr="006C59D5">
              <w:rPr>
                <w:rFonts w:ascii="Myriad Pro" w:eastAsia="Calibri" w:hAnsi="Myriad Pro" w:cs="Arial"/>
              </w:rPr>
              <w:t xml:space="preserve">Weryfikacji podlega również kompletność </w:t>
            </w:r>
            <w:r w:rsidRPr="006C59D5">
              <w:rPr>
                <w:rFonts w:ascii="Myriad Pro" w:eastAsia="Times New Roman" w:hAnsi="Myriad Pro" w:cs="Arial"/>
              </w:rPr>
              <w:t xml:space="preserve"> </w:t>
            </w:r>
            <w:r w:rsidRPr="006C59D5">
              <w:rPr>
                <w:rFonts w:ascii="Myriad Pro" w:eastAsia="Calibri" w:hAnsi="Myriad Pro" w:cs="Arial"/>
              </w:rPr>
              <w:t>załączników innych niż obligatoryjne dla wszystkich wnioskodawców w ramach danego konkursu ( w tym zastosowanie wymaganych wzorów).</w:t>
            </w: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2.2</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Możliwość oceny merytorycznej wniosku </w:t>
            </w:r>
          </w:p>
        </w:tc>
        <w:tc>
          <w:tcPr>
            <w:tcW w:w="1791" w:type="pct"/>
            <w:shd w:val="clear" w:color="auto" w:fill="auto"/>
          </w:tcPr>
          <w:p w:rsidR="009B7BCC" w:rsidRPr="002F2E9B" w:rsidRDefault="009B7BCC" w:rsidP="006C334E">
            <w:pPr>
              <w:spacing w:before="40" w:after="4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Wszystkie pola we wniosku są wypełnione w taki sposób, że dają możliwość oceny merytorycznej wniosku. </w:t>
            </w:r>
          </w:p>
          <w:p w:rsidR="009B7BCC" w:rsidRPr="002F2E9B" w:rsidRDefault="009B7BCC" w:rsidP="006C334E">
            <w:pPr>
              <w:spacing w:before="40" w:after="40" w:line="240" w:lineRule="auto"/>
              <w:rPr>
                <w:rFonts w:ascii="Myriad Pro" w:eastAsia="Times New Roman" w:hAnsi="Myriad Pro" w:cs="Arial"/>
                <w:sz w:val="20"/>
                <w:szCs w:val="20"/>
              </w:rPr>
            </w:pPr>
            <w:r w:rsidRPr="002F2E9B">
              <w:rPr>
                <w:rFonts w:ascii="Myriad Pro" w:eastAsia="Times New Roman" w:hAnsi="Myriad Pro" w:cs="Arial"/>
                <w:sz w:val="20"/>
                <w:szCs w:val="20"/>
              </w:rPr>
              <w:t>Opisy we wniosku oraz w załącznikach są ze sobą spójne, nie zawierają sprzecznych ze sobą kwestii.</w:t>
            </w:r>
          </w:p>
          <w:p w:rsidR="009B7BCC" w:rsidRPr="002F2E9B" w:rsidRDefault="009B7BCC" w:rsidP="006C334E">
            <w:pPr>
              <w:spacing w:before="40" w:after="40" w:line="240" w:lineRule="auto"/>
              <w:rPr>
                <w:rFonts w:ascii="Myriad Pro" w:eastAsia="Times New Roman" w:hAnsi="Myriad Pro" w:cs="Arial"/>
                <w:sz w:val="20"/>
                <w:szCs w:val="20"/>
              </w:rPr>
            </w:pPr>
            <w:r w:rsidRPr="002F2E9B">
              <w:rPr>
                <w:rFonts w:ascii="Myriad Pro" w:eastAsia="Times New Roman" w:hAnsi="Myriad Pro" w:cs="Arial"/>
                <w:sz w:val="20"/>
                <w:szCs w:val="20"/>
              </w:rPr>
              <w:t>Jakość przedstawionych dokumentów (dokumentacji projektowej) pozwala na dokonanie tej oceny. Należy zweryfikować przede wszystkim opisy (w tym analizy, wnioski oraz szacowanie i adekwatność wskaźników) w kontekście ich:</w:t>
            </w:r>
          </w:p>
          <w:p w:rsidR="009B7BCC" w:rsidRPr="002F2E9B" w:rsidRDefault="009B7BCC" w:rsidP="006C334E">
            <w:pPr>
              <w:pStyle w:val="Akapitzlist"/>
              <w:numPr>
                <w:ilvl w:val="0"/>
                <w:numId w:val="1"/>
              </w:numPr>
              <w:spacing w:before="40" w:after="4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Poprawności - weryfikacja wniosku w kontekście błędów popełnionych zarówno w opisach (rzutujących na ich rozumienie, znaczenie, czy wiarygodność), ich aktualności (kiedy są dostępne nowsze dane lub użyte źródła straciły ważność), jak i w analizach i wnioskowaniu (np. błędy rachunkowe zmieniające znacząco wynik analiz)</w:t>
            </w:r>
          </w:p>
          <w:p w:rsidR="009B7BCC" w:rsidRPr="002F2E9B" w:rsidRDefault="009B7BCC" w:rsidP="006C334E">
            <w:pPr>
              <w:pStyle w:val="Akapitzlist"/>
              <w:numPr>
                <w:ilvl w:val="0"/>
                <w:numId w:val="1"/>
              </w:numPr>
              <w:spacing w:before="40" w:after="4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 xml:space="preserve">Wiarygodności - weryfikacja wniosku w zakresie wiarygodności dotyczy weryfikacji przyjmowanych </w:t>
            </w:r>
            <w:r w:rsidRPr="002F2E9B">
              <w:rPr>
                <w:rFonts w:ascii="Myriad Pro" w:eastAsia="Times New Roman" w:hAnsi="Myriad Pro" w:cs="Arial"/>
                <w:sz w:val="20"/>
                <w:szCs w:val="20"/>
              </w:rPr>
              <w:lastRenderedPageBreak/>
              <w:t>założeń oraz źródeł danych, na podstawie których dokonywane są analizy i tworzone opisy, a także wnioski.</w:t>
            </w:r>
          </w:p>
          <w:p w:rsidR="009B7BCC" w:rsidRPr="002F2E9B" w:rsidRDefault="009B7BCC" w:rsidP="006C334E">
            <w:pPr>
              <w:pStyle w:val="Akapitzlist"/>
              <w:numPr>
                <w:ilvl w:val="0"/>
                <w:numId w:val="1"/>
              </w:numPr>
              <w:spacing w:before="40" w:after="4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Rzetelności – dokładności, z jaką opisy odzwierciedlają każdy z aspektów poszczególnych elementów projektu. Dotyczy etapu tworzenia opisów. Opisy zawsze powinny brać pod uwagę te same czynniki. Oznacza to, że opisy powinny być spójne w czasie (po upływie pewnego czasu ponownie sporządzone opisy powinny przekazywać podobne treści) oraz spójne wewnętrznie (nie występowały sprzeczności w opisach spowodowane braniem pod uwagę innych czynników za każdym razem; wybrane do analizy lub opisów elementy populacji/ otoczenia powinny być reprezentatywne na tyle, aby odzwierciedlały rzeczywistą sytuację, a w przypadku interpretacji – błąd związany z interpretacjami był minimalny).</w:t>
            </w: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2.3</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Zgodność z </w:t>
            </w:r>
            <w:proofErr w:type="spellStart"/>
            <w:r w:rsidRPr="002F2E9B">
              <w:rPr>
                <w:rFonts w:ascii="Myriad Pro" w:eastAsia="Times New Roman" w:hAnsi="Myriad Pro" w:cs="Arial"/>
                <w:sz w:val="20"/>
                <w:szCs w:val="20"/>
              </w:rPr>
              <w:t>kwalifikowalnością</w:t>
            </w:r>
            <w:proofErr w:type="spellEnd"/>
            <w:r w:rsidRPr="002F2E9B">
              <w:rPr>
                <w:rFonts w:ascii="Myriad Pro" w:eastAsia="Times New Roman" w:hAnsi="Myriad Pro" w:cs="Arial"/>
                <w:sz w:val="20"/>
                <w:szCs w:val="20"/>
              </w:rPr>
              <w:t xml:space="preserve"> wydatków</w:t>
            </w:r>
          </w:p>
        </w:tc>
        <w:tc>
          <w:tcPr>
            <w:tcW w:w="179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Planowane wydatki są uzasadnione, racjonalne i adekwatne do zakresu i celów projektu oraz celów działania.</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before="40" w:after="40" w:line="240" w:lineRule="auto"/>
              <w:rPr>
                <w:rFonts w:ascii="Myriad Pro" w:eastAsia="Times New Roman" w:hAnsi="Myriad Pro" w:cs="Arial"/>
                <w:sz w:val="20"/>
                <w:szCs w:val="20"/>
              </w:rPr>
            </w:pPr>
            <w:r w:rsidRPr="002F2E9B">
              <w:rPr>
                <w:rFonts w:ascii="Myriad Pro" w:eastAsia="Times New Roman" w:hAnsi="Myriad Pro" w:cs="Arial"/>
                <w:sz w:val="20"/>
                <w:szCs w:val="20"/>
              </w:rPr>
              <w:t>Wydatki w projekcie są zaplanowane:</w:t>
            </w:r>
            <w:r w:rsidRPr="002F2E9B">
              <w:rPr>
                <w:rFonts w:ascii="Myriad Pro" w:eastAsia="Times New Roman" w:hAnsi="Myriad Pro" w:cs="Arial"/>
                <w:sz w:val="20"/>
                <w:szCs w:val="20"/>
              </w:rPr>
              <w:br/>
              <w:t>1) w sposób celowy i oszczędny, z zachowaniem zasad:</w:t>
            </w:r>
            <w:r w:rsidRPr="002F2E9B">
              <w:rPr>
                <w:rFonts w:ascii="Myriad Pro" w:eastAsia="Times New Roman" w:hAnsi="Myriad Pro" w:cs="Arial"/>
                <w:sz w:val="20"/>
                <w:szCs w:val="20"/>
              </w:rPr>
              <w:br/>
              <w:t>a) uzyskiwania najlepszych efektów z danych nakładów,</w:t>
            </w:r>
            <w:r w:rsidRPr="002F2E9B">
              <w:rPr>
                <w:rFonts w:ascii="Myriad Pro" w:eastAsia="Times New Roman" w:hAnsi="Myriad Pro" w:cs="Arial"/>
                <w:sz w:val="20"/>
                <w:szCs w:val="20"/>
              </w:rPr>
              <w:br/>
              <w:t>b) optymalnego doboru metod i środków służących osiągnięciu założonych celów;</w:t>
            </w:r>
            <w:r w:rsidRPr="002F2E9B">
              <w:rPr>
                <w:rFonts w:ascii="Myriad Pro" w:eastAsia="Times New Roman" w:hAnsi="Myriad Pro" w:cs="Arial"/>
                <w:sz w:val="20"/>
                <w:szCs w:val="20"/>
              </w:rPr>
              <w:br/>
              <w:t>2) w sposób umożliwiający terminową realizację zadań;</w:t>
            </w:r>
            <w:r w:rsidRPr="002F2E9B">
              <w:rPr>
                <w:rFonts w:ascii="Myriad Pro" w:eastAsia="Times New Roman" w:hAnsi="Myriad Pro" w:cs="Arial"/>
                <w:sz w:val="20"/>
                <w:szCs w:val="20"/>
              </w:rPr>
              <w:br/>
              <w:t>3) w wysokości i terminach wynikających z wcześniej zaciągniętych zobowiązań.</w:t>
            </w:r>
          </w:p>
          <w:p w:rsidR="009B7BCC" w:rsidRPr="002F2E9B" w:rsidRDefault="009B7BCC" w:rsidP="006C334E">
            <w:pPr>
              <w:spacing w:before="40" w:after="4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Wydatki założone w projekcie są zgodne z katalogiem wydatków, limitami oraz zasadami </w:t>
            </w:r>
            <w:proofErr w:type="spellStart"/>
            <w:r w:rsidRPr="002F2E9B">
              <w:rPr>
                <w:rFonts w:ascii="Myriad Pro" w:eastAsia="Times New Roman" w:hAnsi="Myriad Pro" w:cs="Arial"/>
                <w:sz w:val="20"/>
                <w:szCs w:val="20"/>
              </w:rPr>
              <w:t>kwalifikowalności</w:t>
            </w:r>
            <w:proofErr w:type="spellEnd"/>
            <w:r w:rsidRPr="002F2E9B">
              <w:rPr>
                <w:rFonts w:ascii="Myriad Pro" w:eastAsia="Times New Roman" w:hAnsi="Myriad Pro" w:cs="Arial"/>
                <w:sz w:val="20"/>
                <w:szCs w:val="20"/>
              </w:rPr>
              <w:t xml:space="preserve"> określonymi w Regulaminie naboru.</w:t>
            </w:r>
          </w:p>
          <w:p w:rsidR="009B7BCC" w:rsidRPr="002F2E9B" w:rsidRDefault="009B7BCC" w:rsidP="006C334E">
            <w:pPr>
              <w:spacing w:after="0" w:line="240" w:lineRule="auto"/>
              <w:rPr>
                <w:rFonts w:ascii="Myriad Pro" w:eastAsia="Times New Roman" w:hAnsi="Myriad Pro" w:cs="Arial"/>
                <w:sz w:val="20"/>
                <w:szCs w:val="20"/>
              </w:rPr>
            </w:pP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Zasady </w:t>
            </w:r>
            <w:proofErr w:type="spellStart"/>
            <w:r w:rsidRPr="002F2E9B">
              <w:rPr>
                <w:rFonts w:ascii="Myriad Pro" w:eastAsia="Times New Roman" w:hAnsi="Myriad Pro" w:cs="Arial"/>
                <w:sz w:val="20"/>
                <w:szCs w:val="20"/>
              </w:rPr>
              <w:t>kwalifikowalności</w:t>
            </w:r>
            <w:proofErr w:type="spellEnd"/>
            <w:r w:rsidRPr="002F2E9B">
              <w:rPr>
                <w:rFonts w:ascii="Myriad Pro" w:eastAsia="Times New Roman" w:hAnsi="Myriad Pro" w:cs="Arial"/>
                <w:sz w:val="20"/>
                <w:szCs w:val="20"/>
              </w:rPr>
              <w:t xml:space="preserve"> obejmują w szczególności:</w:t>
            </w:r>
          </w:p>
          <w:p w:rsidR="009B7BCC" w:rsidRPr="002F2E9B" w:rsidRDefault="009B7BCC" w:rsidP="006C334E">
            <w:pPr>
              <w:pStyle w:val="Akapitzlist"/>
              <w:numPr>
                <w:ilvl w:val="0"/>
                <w:numId w:val="2"/>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 xml:space="preserve">ramy czasowe </w:t>
            </w:r>
            <w:proofErr w:type="spellStart"/>
            <w:r w:rsidRPr="002F2E9B">
              <w:rPr>
                <w:rFonts w:ascii="Myriad Pro" w:eastAsia="Times New Roman" w:hAnsi="Myriad Pro" w:cs="Arial"/>
                <w:sz w:val="20"/>
                <w:szCs w:val="20"/>
              </w:rPr>
              <w:t>kwalifikowalności</w:t>
            </w:r>
            <w:proofErr w:type="spellEnd"/>
          </w:p>
          <w:p w:rsidR="009B7BCC" w:rsidRPr="002F2E9B" w:rsidRDefault="009B7BCC" w:rsidP="006C334E">
            <w:pPr>
              <w:pStyle w:val="Akapitzlist"/>
              <w:numPr>
                <w:ilvl w:val="0"/>
                <w:numId w:val="2"/>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lastRenderedPageBreak/>
              <w:t>sposoby szacowania wartości;</w:t>
            </w:r>
          </w:p>
          <w:p w:rsidR="009B7BCC" w:rsidRPr="002F2E9B" w:rsidRDefault="009B7BCC" w:rsidP="006C334E">
            <w:pPr>
              <w:pStyle w:val="Akapitzlist"/>
              <w:numPr>
                <w:ilvl w:val="0"/>
                <w:numId w:val="2"/>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 xml:space="preserve">brak wykluczenia w katalogu wydatków </w:t>
            </w:r>
            <w:proofErr w:type="spellStart"/>
            <w:r w:rsidRPr="002F2E9B">
              <w:rPr>
                <w:rFonts w:ascii="Myriad Pro" w:eastAsia="Times New Roman" w:hAnsi="Myriad Pro" w:cs="Arial"/>
                <w:sz w:val="20"/>
                <w:szCs w:val="20"/>
              </w:rPr>
              <w:t>kwalifikowalnych</w:t>
            </w:r>
            <w:proofErr w:type="spellEnd"/>
            <w:r w:rsidRPr="002F2E9B">
              <w:rPr>
                <w:rFonts w:ascii="Myriad Pro" w:eastAsia="Times New Roman" w:hAnsi="Myriad Pro" w:cs="Arial"/>
                <w:sz w:val="20"/>
                <w:szCs w:val="20"/>
              </w:rPr>
              <w:t>;</w:t>
            </w:r>
          </w:p>
          <w:p w:rsidR="009B7BCC" w:rsidRPr="002F2E9B" w:rsidRDefault="009B7BCC" w:rsidP="009B7BCC">
            <w:pPr>
              <w:pStyle w:val="Akapitzlist"/>
              <w:numPr>
                <w:ilvl w:val="0"/>
                <w:numId w:val="9"/>
              </w:num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charakter planowanych wydatków w uzasadniony sposób odpowiada celom projektu. </w:t>
            </w:r>
          </w:p>
          <w:p w:rsidR="009B7BCC" w:rsidRPr="002F2E9B" w:rsidRDefault="009B7BCC" w:rsidP="009B7BCC">
            <w:pPr>
              <w:pStyle w:val="Akapitzlist"/>
              <w:numPr>
                <w:ilvl w:val="0"/>
                <w:numId w:val="9"/>
              </w:num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cel projektu jest racjonalnie zaplanowany (tj. nakłady nie są zawyżone  w stosunku do potencjalnych efektów) . Cel nie może być osiągnięty przy nakładach o niższej wysokości bądź węższym zakresie rzeczowym;</w:t>
            </w:r>
          </w:p>
          <w:p w:rsidR="009B7BCC" w:rsidRPr="002F2E9B" w:rsidRDefault="009B7BCC" w:rsidP="009B7BCC">
            <w:pPr>
              <w:pStyle w:val="Akapitzlist"/>
              <w:numPr>
                <w:ilvl w:val="0"/>
                <w:numId w:val="9"/>
              </w:num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poniesienie wydatków jest optymalne pod względem technicznym, ekonomicznym i funkcjonalnym i w bezpośrednim stopniu dąży do realizacji podstawowych celów projektu znajdując jednocześnie adekwatne odzwierciedlenie we wskaźnikach produktu lub rezultatu.</w:t>
            </w:r>
          </w:p>
          <w:p w:rsidR="009B7BCC" w:rsidRPr="002F2E9B" w:rsidRDefault="009B7BCC" w:rsidP="009B7BCC">
            <w:pPr>
              <w:pStyle w:val="Akapitzlist"/>
              <w:numPr>
                <w:ilvl w:val="0"/>
                <w:numId w:val="9"/>
              </w:num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wysokość poszczególnych wydatków została prawidłowo i rzetelnie oszacowana (tj. czy wydatki nie zostały zawyżone) </w:t>
            </w:r>
          </w:p>
          <w:p w:rsidR="009B7BCC" w:rsidRPr="002F2E9B" w:rsidRDefault="009B7BCC" w:rsidP="009B7BCC">
            <w:pPr>
              <w:pStyle w:val="Akapitzlist"/>
              <w:numPr>
                <w:ilvl w:val="0"/>
                <w:numId w:val="9"/>
              </w:num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wysokość  oraz </w:t>
            </w:r>
            <w:proofErr w:type="spellStart"/>
            <w:r w:rsidRPr="002F2E9B">
              <w:rPr>
                <w:rFonts w:ascii="Myriad Pro" w:eastAsia="Times New Roman" w:hAnsi="Myriad Pro" w:cs="Arial"/>
                <w:sz w:val="20"/>
                <w:szCs w:val="20"/>
              </w:rPr>
              <w:t>kwalifikowalność</w:t>
            </w:r>
            <w:proofErr w:type="spellEnd"/>
            <w:r w:rsidRPr="002F2E9B">
              <w:rPr>
                <w:rFonts w:ascii="Myriad Pro" w:eastAsia="Times New Roman" w:hAnsi="Myriad Pro" w:cs="Arial"/>
                <w:sz w:val="20"/>
                <w:szCs w:val="20"/>
              </w:rPr>
              <w:t xml:space="preserve"> zaplanowanych wydatków nie budzi wątpliwości.</w:t>
            </w:r>
          </w:p>
          <w:p w:rsidR="009B7BCC" w:rsidRPr="002F2E9B" w:rsidRDefault="009B7BCC" w:rsidP="006C334E">
            <w:pPr>
              <w:spacing w:after="0" w:line="240" w:lineRule="auto"/>
              <w:jc w:val="both"/>
              <w:rPr>
                <w:rFonts w:ascii="Myriad Pro" w:eastAsia="Times New Roman" w:hAnsi="Myriad Pro" w:cs="Arial"/>
                <w:sz w:val="20"/>
                <w:szCs w:val="20"/>
              </w:rPr>
            </w:pPr>
          </w:p>
          <w:p w:rsidR="009B7BCC" w:rsidRPr="002F2E9B" w:rsidRDefault="009B7BCC" w:rsidP="006C334E">
            <w:pPr>
              <w:spacing w:after="0" w:line="240" w:lineRule="auto"/>
              <w:jc w:val="both"/>
              <w:rPr>
                <w:rFonts w:ascii="Myriad Pro" w:eastAsia="Times New Roman" w:hAnsi="Myriad Pro" w:cs="Arial"/>
                <w:sz w:val="20"/>
                <w:szCs w:val="20"/>
              </w:rPr>
            </w:pPr>
            <w:r w:rsidRPr="002F2E9B">
              <w:rPr>
                <w:rFonts w:ascii="Myriad Pro" w:eastAsia="Times New Roman" w:hAnsi="Myriad Pro" w:cs="Arial"/>
                <w:sz w:val="20"/>
                <w:szCs w:val="20"/>
              </w:rPr>
              <w:t xml:space="preserve">W ramach projektu nie są </w:t>
            </w:r>
            <w:proofErr w:type="spellStart"/>
            <w:r w:rsidRPr="002F2E9B">
              <w:rPr>
                <w:rFonts w:ascii="Myriad Pro" w:eastAsia="Times New Roman" w:hAnsi="Myriad Pro" w:cs="Arial"/>
                <w:sz w:val="20"/>
                <w:szCs w:val="20"/>
              </w:rPr>
              <w:t>kwalifikowalne</w:t>
            </w:r>
            <w:proofErr w:type="spellEnd"/>
            <w:r w:rsidRPr="002F2E9B">
              <w:rPr>
                <w:rFonts w:ascii="Myriad Pro" w:eastAsia="Times New Roman" w:hAnsi="Myriad Pro" w:cs="Arial"/>
                <w:sz w:val="20"/>
                <w:szCs w:val="20"/>
              </w:rPr>
              <w:t xml:space="preserve"> wydatki na drogi niestanowiące wewnętrznej infrastruktury komunikacyjnej.</w:t>
            </w:r>
          </w:p>
          <w:p w:rsidR="009B7BCC" w:rsidRPr="002F2E9B" w:rsidRDefault="009B7BCC" w:rsidP="006C334E">
            <w:pPr>
              <w:spacing w:after="0" w:line="240" w:lineRule="auto"/>
              <w:jc w:val="both"/>
              <w:rPr>
                <w:rFonts w:ascii="Myriad Pro" w:eastAsia="Times New Roman" w:hAnsi="Myriad Pro" w:cs="Arial"/>
                <w:sz w:val="20"/>
                <w:szCs w:val="20"/>
              </w:rPr>
            </w:pPr>
          </w:p>
          <w:p w:rsidR="009B7BCC" w:rsidRPr="002F2E9B" w:rsidRDefault="009B7BCC" w:rsidP="006C334E">
            <w:pPr>
              <w:autoSpaceDE w:val="0"/>
              <w:autoSpaceDN w:val="0"/>
              <w:adjustRightInd w:val="0"/>
              <w:spacing w:after="0" w:line="240" w:lineRule="auto"/>
              <w:rPr>
                <w:rFonts w:ascii="Myriad Pro" w:eastAsia="Times New Roman" w:hAnsi="Myriad Pro" w:cs="MyriadPro-Regular"/>
                <w:sz w:val="20"/>
                <w:szCs w:val="20"/>
              </w:rPr>
            </w:pPr>
            <w:r w:rsidRPr="002F2E9B">
              <w:rPr>
                <w:rFonts w:ascii="Myriad Pro" w:eastAsia="Times New Roman" w:hAnsi="Myriad Pro" w:cs="Arial"/>
                <w:sz w:val="20"/>
                <w:szCs w:val="20"/>
              </w:rPr>
              <w:t>W ramach projektu wydatki na wewnętrzną infrastrukturę komunikacyjną stanowią mniejszą część budżetu projektu (</w:t>
            </w:r>
            <w:r w:rsidRPr="002F2E9B">
              <w:rPr>
                <w:rFonts w:ascii="Myriad Pro" w:eastAsia="Times New Roman" w:hAnsi="Myriad Pro" w:cs="MyriadPro-Regular"/>
                <w:sz w:val="20"/>
                <w:szCs w:val="20"/>
              </w:rPr>
              <w:t>mniej niż 50% całkowitych wydatków</w:t>
            </w:r>
          </w:p>
          <w:p w:rsidR="009B7BCC" w:rsidRPr="002F2E9B" w:rsidRDefault="009B7BCC" w:rsidP="006C334E">
            <w:pPr>
              <w:spacing w:after="0" w:line="240" w:lineRule="auto"/>
              <w:jc w:val="both"/>
              <w:rPr>
                <w:rFonts w:ascii="Myriad Pro" w:eastAsia="Times New Roman" w:hAnsi="Myriad Pro" w:cs="Arial"/>
                <w:sz w:val="20"/>
                <w:szCs w:val="20"/>
              </w:rPr>
            </w:pPr>
            <w:proofErr w:type="spellStart"/>
            <w:r w:rsidRPr="002F2E9B">
              <w:rPr>
                <w:rFonts w:ascii="Myriad Pro" w:eastAsia="Times New Roman" w:hAnsi="Myriad Pro" w:cs="MyriadPro-Regular"/>
                <w:sz w:val="20"/>
                <w:szCs w:val="20"/>
              </w:rPr>
              <w:t>kwalifikowalnych</w:t>
            </w:r>
            <w:proofErr w:type="spellEnd"/>
            <w:r w:rsidRPr="002F2E9B">
              <w:rPr>
                <w:rFonts w:ascii="Myriad Pro" w:eastAsia="Times New Roman" w:hAnsi="Myriad Pro" w:cs="MyriadPro-Regular"/>
                <w:sz w:val="20"/>
                <w:szCs w:val="20"/>
              </w:rPr>
              <w:t>)</w:t>
            </w:r>
            <w:r w:rsidRPr="002F2E9B">
              <w:rPr>
                <w:rFonts w:ascii="Myriad Pro" w:eastAsia="Times New Roman" w:hAnsi="Myriad Pro" w:cs="Arial"/>
                <w:sz w:val="20"/>
                <w:szCs w:val="20"/>
              </w:rPr>
              <w:t>..</w:t>
            </w:r>
          </w:p>
          <w:p w:rsidR="009B7BCC" w:rsidRPr="002F2E9B" w:rsidRDefault="009B7BCC" w:rsidP="006C334E">
            <w:pPr>
              <w:spacing w:after="0" w:line="240" w:lineRule="auto"/>
              <w:jc w:val="both"/>
              <w:rPr>
                <w:rFonts w:ascii="Myriad Pro" w:eastAsia="Times New Roman" w:hAnsi="Myriad Pro" w:cs="Arial"/>
                <w:sz w:val="20"/>
                <w:szCs w:val="20"/>
              </w:rPr>
            </w:pPr>
            <w:r w:rsidRPr="002F2E9B">
              <w:rPr>
                <w:rFonts w:ascii="Myriad Pro" w:eastAsia="Times New Roman" w:hAnsi="Myriad Pro" w:cs="Arial"/>
                <w:sz w:val="20"/>
                <w:szCs w:val="20"/>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w:t>
            </w:r>
            <w:proofErr w:type="spellStart"/>
            <w:r w:rsidRPr="002F2E9B">
              <w:rPr>
                <w:rFonts w:ascii="Myriad Pro" w:eastAsia="Times New Roman" w:hAnsi="Myriad Pro" w:cs="Arial"/>
                <w:sz w:val="20"/>
                <w:szCs w:val="20"/>
              </w:rPr>
              <w:t>kwalifikowalne</w:t>
            </w:r>
            <w:proofErr w:type="spellEnd"/>
            <w:r w:rsidRPr="002F2E9B">
              <w:rPr>
                <w:rFonts w:ascii="Myriad Pro" w:eastAsia="Times New Roman" w:hAnsi="Myriad Pro" w:cs="Arial"/>
                <w:sz w:val="20"/>
                <w:szCs w:val="20"/>
              </w:rPr>
              <w:t xml:space="preserve"> mogą być wyłącznie wydatki w części dotyczącej MŚP.</w:t>
            </w: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2.4</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Intensywność wsparcia</w:t>
            </w:r>
          </w:p>
        </w:tc>
        <w:tc>
          <w:tcPr>
            <w:tcW w:w="179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Wnioskowana kwota i poziom wsparcia są zgodne z zapisami Regulaminu naboru. </w:t>
            </w:r>
          </w:p>
          <w:p w:rsidR="009B7BCC" w:rsidRPr="002F2E9B" w:rsidRDefault="009B7BCC" w:rsidP="006C334E">
            <w:pPr>
              <w:spacing w:after="0" w:line="240" w:lineRule="auto"/>
              <w:rPr>
                <w:rFonts w:ascii="Myriad Pro" w:eastAsia="Times New Roman" w:hAnsi="Myriad Pro" w:cs="Arial"/>
                <w:sz w:val="20"/>
                <w:szCs w:val="20"/>
              </w:rPr>
            </w:pP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2.5</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Poprawność okresu realizacji</w:t>
            </w:r>
          </w:p>
        </w:tc>
        <w:tc>
          <w:tcPr>
            <w:tcW w:w="179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 zostanie zrealizowany w terminie zaplanowanym dla projektu. Harmonogram projektu został zaplanowany realnie i racjonalnie.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Wszystkie etapy projektu wynikają z procesu inwestycyjnego i są logicznie powiązane.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Okres realizacji projektu nie wykracza poza  datę końcową okresu </w:t>
            </w:r>
            <w:proofErr w:type="spellStart"/>
            <w:r w:rsidRPr="002F2E9B">
              <w:rPr>
                <w:rFonts w:ascii="Myriad Pro" w:eastAsia="Times New Roman" w:hAnsi="Myriad Pro" w:cs="Arial"/>
                <w:sz w:val="20"/>
                <w:szCs w:val="20"/>
              </w:rPr>
              <w:t>kwalifikowalności</w:t>
            </w:r>
            <w:proofErr w:type="spellEnd"/>
            <w:r w:rsidRPr="002F2E9B">
              <w:rPr>
                <w:rFonts w:ascii="Myriad Pro" w:eastAsia="Times New Roman" w:hAnsi="Myriad Pro" w:cs="Arial"/>
                <w:sz w:val="20"/>
                <w:szCs w:val="20"/>
              </w:rPr>
              <w:t xml:space="preserve"> określoną w art. 65 ust. 2 rozporządzenia (UE) nr 1303/2013 oraz datę końcową określoną w regulaminie naboru.</w:t>
            </w: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rPr>
          <w:trHeight w:val="1972"/>
        </w:trPr>
        <w:tc>
          <w:tcPr>
            <w:tcW w:w="250" w:type="pct"/>
            <w:shd w:val="clear" w:color="auto" w:fill="auto"/>
          </w:tcPr>
          <w:p w:rsidR="009B7BCC" w:rsidRPr="002F2E9B" w:rsidRDefault="009B7BCC" w:rsidP="006C334E">
            <w:pPr>
              <w:rPr>
                <w:rFonts w:ascii="Myriad Pro" w:eastAsia="Times New Roman" w:hAnsi="Myriad Pro" w:cs="Arial"/>
                <w:sz w:val="20"/>
                <w:szCs w:val="20"/>
              </w:rPr>
            </w:pPr>
            <w:r w:rsidRPr="002F2E9B">
              <w:rPr>
                <w:rFonts w:ascii="Myriad Pro" w:eastAsia="Times New Roman" w:hAnsi="Myriad Pro" w:cs="Arial"/>
                <w:sz w:val="20"/>
                <w:szCs w:val="20"/>
              </w:rPr>
              <w:t>2.6</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Poprawność obliczeń całkowitych kosztów i całkowitych kosztów </w:t>
            </w:r>
            <w:proofErr w:type="spellStart"/>
            <w:r w:rsidRPr="002F2E9B">
              <w:rPr>
                <w:rFonts w:ascii="Myriad Pro" w:eastAsia="Times New Roman" w:hAnsi="Myriad Pro" w:cs="Arial"/>
                <w:sz w:val="20"/>
                <w:szCs w:val="20"/>
              </w:rPr>
              <w:t>kwalifikowalnych</w:t>
            </w:r>
            <w:proofErr w:type="spellEnd"/>
            <w:r w:rsidRPr="002F2E9B">
              <w:rPr>
                <w:rFonts w:ascii="Myriad Pro" w:eastAsia="Times New Roman" w:hAnsi="Myriad Pro" w:cs="Arial"/>
                <w:sz w:val="20"/>
                <w:szCs w:val="20"/>
              </w:rPr>
              <w:t xml:space="preserve"> oraz intensywności pomocy uwzględniającej generowanie dochodu w projekcie.</w:t>
            </w:r>
          </w:p>
        </w:tc>
        <w:tc>
          <w:tcPr>
            <w:tcW w:w="179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Poprawność całkowitych kosztów i całkowitych kosztów </w:t>
            </w:r>
            <w:proofErr w:type="spellStart"/>
            <w:r w:rsidRPr="002F2E9B">
              <w:rPr>
                <w:rFonts w:ascii="Myriad Pro" w:eastAsia="Times New Roman" w:hAnsi="Myriad Pro" w:cs="Arial"/>
                <w:sz w:val="20"/>
                <w:szCs w:val="20"/>
              </w:rPr>
              <w:t>kwalifikowalnych</w:t>
            </w:r>
            <w:proofErr w:type="spellEnd"/>
            <w:r w:rsidRPr="002F2E9B">
              <w:rPr>
                <w:rFonts w:ascii="Myriad Pro" w:eastAsia="Times New Roman" w:hAnsi="Myriad Pro" w:cs="Arial"/>
                <w:sz w:val="20"/>
                <w:szCs w:val="20"/>
              </w:rPr>
              <w:t xml:space="preserve"> z uwzględnieniem wymogów określonych w art.61 rozporządzenia (UE) nr 1303/2013, a także wystarczająca szczegółowość i racjonalne przesłanki obliczania kosztów, zarówno pod względem całkowitych kosztów niezbędnych do osiągnięcia wyznaczonych celów, jak i pod względem kosztów jednostkowych w stosownych przypadkach.</w:t>
            </w:r>
          </w:p>
          <w:p w:rsidR="009B7BCC" w:rsidRPr="002F2E9B" w:rsidRDefault="009B7BCC" w:rsidP="006C334E">
            <w:pPr>
              <w:spacing w:after="0" w:line="240" w:lineRule="auto"/>
              <w:rPr>
                <w:rFonts w:ascii="Myriad Pro" w:eastAsia="Times New Roman" w:hAnsi="Myriad Pro" w:cs="Arial"/>
                <w:sz w:val="20"/>
                <w:szCs w:val="20"/>
              </w:rPr>
            </w:pP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50"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2.7</w:t>
            </w:r>
          </w:p>
        </w:tc>
        <w:tc>
          <w:tcPr>
            <w:tcW w:w="101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Zasadność poziomu wsparcia w projekcie</w:t>
            </w:r>
          </w:p>
        </w:tc>
        <w:tc>
          <w:tcPr>
            <w:tcW w:w="1791"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Słuszność wniosku, że projekt jest realny z gospodarczego i finansowego punktu widzenia oraz przynosi pozytywne skutki społeczno-gospodarcze, co uzasadnia poziom wsparcia w zakresie przewidzianym w ramach EFRR.</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 wymaga dofinansowania, gdy:</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FNPV/C &lt; 0, a FRR/C &lt; od stopy dyskontowej.</w:t>
            </w:r>
          </w:p>
        </w:tc>
        <w:tc>
          <w:tcPr>
            <w:tcW w:w="1948"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Spełnienie kryterium jest konieczne do przyznania dofinansowania. Projekty niespełniające kryterium są odrzucane. </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bl>
    <w:p w:rsidR="009B7BCC" w:rsidRDefault="009B7BCC" w:rsidP="009B7BCC">
      <w:pPr>
        <w:spacing w:after="0" w:line="240" w:lineRule="auto"/>
        <w:rPr>
          <w:rFonts w:ascii="Myriad Pro" w:eastAsia="Times New Roman" w:hAnsi="Myriad Pro" w:cs="Times New Roman"/>
          <w:sz w:val="20"/>
          <w:szCs w:val="20"/>
        </w:rPr>
      </w:pPr>
    </w:p>
    <w:tbl>
      <w:tblPr>
        <w:tblpPr w:leftFromText="141" w:rightFromText="141" w:vertAnchor="text" w:horzAnchor="margin" w:tblpY="-1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2599"/>
        <w:gridCol w:w="5159"/>
        <w:gridCol w:w="5611"/>
      </w:tblGrid>
      <w:tr w:rsidR="009B7BCC" w:rsidRPr="002F2E9B" w:rsidTr="006C334E">
        <w:tc>
          <w:tcPr>
            <w:tcW w:w="5000" w:type="pct"/>
            <w:gridSpan w:val="4"/>
            <w:shd w:val="clear" w:color="auto" w:fill="D9D9D9"/>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b/>
                <w:sz w:val="20"/>
                <w:szCs w:val="20"/>
              </w:rPr>
              <w:lastRenderedPageBreak/>
              <w:t>Kryteria wykonalności</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Lp.</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Nazwa kryterium</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Definicja kryterium</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Opis znaczenia kryterium</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1</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2</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4</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3.1</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Zgodność z przepisami prawa krajowego i unijnego</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Ocenie podlega stan przygotowania projektu do realizacji w istniejącym otoczeniu prawnym.</w:t>
            </w:r>
          </w:p>
          <w:p w:rsidR="009B7BCC" w:rsidRPr="002F2E9B" w:rsidRDefault="009B7BCC" w:rsidP="006C334E">
            <w:pPr>
              <w:spacing w:after="0" w:line="240" w:lineRule="auto"/>
              <w:rPr>
                <w:rFonts w:ascii="Myriad Pro" w:eastAsia="Times New Roman" w:hAnsi="Myriad Pro" w:cs="Arial"/>
                <w:color w:val="000000"/>
                <w:sz w:val="20"/>
                <w:szCs w:val="20"/>
              </w:rPr>
            </w:pPr>
          </w:p>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 xml:space="preserve">Analizie podlega proces pozyskiwania  niezbędnych pozwoleń i decyzji w celu osiągnięcia produktów lub usług, które mają być dostarczone w ramach projektu, osiągnięcia ich w wymaganym planie finansowym oraz zgodnie z wymaganym terminem realizacji. </w:t>
            </w:r>
          </w:p>
          <w:p w:rsidR="009B7BCC" w:rsidRPr="002F2E9B" w:rsidRDefault="009B7BCC" w:rsidP="006C334E">
            <w:p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Uwzględnienie m. in.:</w:t>
            </w:r>
          </w:p>
          <w:p w:rsidR="009B7BCC" w:rsidRPr="002F2E9B" w:rsidRDefault="009B7BCC" w:rsidP="009B7BCC">
            <w:pPr>
              <w:pStyle w:val="Akapitzlist"/>
              <w:numPr>
                <w:ilvl w:val="0"/>
                <w:numId w:val="10"/>
              </w:num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kwestii postępowania OOŚ w przygotowaniu i realizacji projektu,</w:t>
            </w:r>
          </w:p>
          <w:p w:rsidR="009B7BCC" w:rsidRPr="002F2E9B" w:rsidRDefault="009B7BCC" w:rsidP="009B7BCC">
            <w:pPr>
              <w:pStyle w:val="Akapitzlist"/>
              <w:numPr>
                <w:ilvl w:val="0"/>
                <w:numId w:val="10"/>
              </w:num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odpowiednich procedur zamówień publicznych (jeśli dotyczy)</w:t>
            </w:r>
          </w:p>
          <w:p w:rsidR="009B7BCC" w:rsidRPr="002F2E9B" w:rsidRDefault="009B7BCC" w:rsidP="009B7BCC">
            <w:pPr>
              <w:pStyle w:val="Akapitzlist"/>
              <w:numPr>
                <w:ilvl w:val="0"/>
                <w:numId w:val="10"/>
              </w:num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kwestii związanych z uwarunkowaniami wynikającymi z procedur prawa budowlanego i zagospodarowania przestrzennego,</w:t>
            </w:r>
          </w:p>
          <w:p w:rsidR="009B7BCC" w:rsidRPr="002F2E9B" w:rsidRDefault="009B7BCC" w:rsidP="009B7BCC">
            <w:pPr>
              <w:pStyle w:val="Akapitzlist"/>
              <w:numPr>
                <w:ilvl w:val="0"/>
                <w:numId w:val="10"/>
              </w:numPr>
              <w:spacing w:after="0" w:line="240" w:lineRule="auto"/>
              <w:rPr>
                <w:rFonts w:ascii="Myriad Pro" w:eastAsia="Times New Roman" w:hAnsi="Myriad Pro" w:cs="Arial"/>
                <w:color w:val="000000"/>
                <w:sz w:val="20"/>
                <w:szCs w:val="20"/>
              </w:rPr>
            </w:pPr>
            <w:r w:rsidRPr="002F2E9B">
              <w:rPr>
                <w:rFonts w:ascii="Myriad Pro" w:eastAsia="Times New Roman" w:hAnsi="Myriad Pro" w:cs="Arial"/>
                <w:color w:val="000000"/>
                <w:sz w:val="20"/>
                <w:szCs w:val="20"/>
              </w:rPr>
              <w:t>posiadania ewentualnych koncesji, jeśli projekt zakłada realizację projektów ich wymagających.</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3.2</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Zdolność finansowa</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Wnioskodawca zapewni  niezbędne środki finansowe do realizacji projektu, co wynika z przedstawionego planu finansowego. Sytuacja finansowa wnioskodawcy daje gwarancję realizacji przedsięwzięcia w terminie określonym we wniosku o dofinansowanie. Wnioskodawca zapewni środki finansowe do utrzymywania projektu w okresie trwałości.</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99" w:type="pct"/>
            <w:shd w:val="clear" w:color="auto" w:fill="auto"/>
          </w:tcPr>
          <w:p w:rsidR="009B7BCC" w:rsidRPr="002F2E9B" w:rsidRDefault="009B7BCC" w:rsidP="006C334E">
            <w:pPr>
              <w:rPr>
                <w:rFonts w:ascii="Myriad Pro" w:eastAsia="Times New Roman" w:hAnsi="Myriad Pro" w:cs="Arial"/>
                <w:sz w:val="20"/>
                <w:szCs w:val="20"/>
              </w:rPr>
            </w:pPr>
            <w:r w:rsidRPr="002F2E9B">
              <w:rPr>
                <w:rFonts w:ascii="Myriad Pro" w:eastAsia="Times New Roman" w:hAnsi="Myriad Pro" w:cs="Arial"/>
                <w:sz w:val="20"/>
                <w:szCs w:val="20"/>
              </w:rPr>
              <w:t>3.3</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Zdolność ekonomiczna</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Przeprowadzona analiza kosztów i korzyści w studium wykonalności jest prawidłowa, a jej wyniki wskazują na to, że projekt posiada minimalny wymagany poziom efektywności społeczno-gospodarczej. Analizy biorą pod uwagę uwarunkowania płynące z otoczenia prawnego projektu. Tam gdzie to zasadne weryfikacja spełnienia kryterium powinna korzystać ze wskaźnika B/C, którego minimalna wartość to 1. </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3.4</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Zdolność operacyjna</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Wnioskodawca gwarantuje zdolności organizacyjne do </w:t>
            </w:r>
            <w:r w:rsidRPr="002F2E9B">
              <w:rPr>
                <w:rFonts w:ascii="Myriad Pro" w:eastAsia="Times New Roman" w:hAnsi="Myriad Pro" w:cs="Arial"/>
                <w:sz w:val="20"/>
                <w:szCs w:val="20"/>
              </w:rPr>
              <w:lastRenderedPageBreak/>
              <w:t>realizacji projektu zgodnie z jego celem. szczegółowym, szczegółowymi warunkami produktów lub usług, które maja być dostarczone w ramach projektu i jest w stanie je dostarczyć w wymaganym terminie.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Wnioskodawca zapewnia zasoby techniczne, kadrowe i wiedzę umożliwiającą terminową realizację projektu oraz gwarantujące utrzymanie trwałości projektu, w szczególności jego rezultatów.</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 xml:space="preserve">Spełnienie kryterium jest konieczne do przyznania </w:t>
            </w:r>
            <w:r w:rsidRPr="002F2E9B">
              <w:rPr>
                <w:rFonts w:ascii="Myriad Pro" w:eastAsia="Times New Roman" w:hAnsi="Myriad Pro" w:cs="Arial"/>
                <w:sz w:val="20"/>
                <w:szCs w:val="20"/>
              </w:rPr>
              <w:lastRenderedPageBreak/>
              <w:t>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lastRenderedPageBreak/>
              <w:t>3.5</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Wykonalność techniczna/technologiczna</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 xml:space="preserve">Projekt jest wykonalny pod względem technicznym. Zaproponowane rozwiązania techniczne/ technologiczne są optymalne i umożliwiają realizację projektu zgodnie z zakładanym harmonogramem. </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Spełnienie kryterium jest konieczne do przyznania dofinansowania.</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Projekty niespełniające kryterium są odrzucane.</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Ocena spełniania kryterium polega na przypisaniu wartości logicznych „tak”, „nie”.</w:t>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3.6</w:t>
            </w:r>
          </w:p>
        </w:tc>
        <w:tc>
          <w:tcPr>
            <w:tcW w:w="914" w:type="pct"/>
            <w:shd w:val="clear" w:color="auto" w:fill="auto"/>
          </w:tcPr>
          <w:p w:rsidR="009B7BCC" w:rsidRPr="002F2E9B" w:rsidRDefault="009B7BCC" w:rsidP="006C334E">
            <w:pPr>
              <w:spacing w:after="0" w:line="240" w:lineRule="auto"/>
              <w:rPr>
                <w:rFonts w:ascii="Myriad Pro" w:eastAsia="Calibri" w:hAnsi="Myriad Pro" w:cs="Arial"/>
                <w:sz w:val="20"/>
                <w:szCs w:val="20"/>
              </w:rPr>
            </w:pPr>
            <w:r w:rsidRPr="002F2E9B">
              <w:rPr>
                <w:rFonts w:ascii="Myriad Pro" w:eastAsia="Calibri" w:hAnsi="Myriad Pro" w:cs="Arial"/>
                <w:sz w:val="20"/>
                <w:szCs w:val="20"/>
              </w:rPr>
              <w:t>Poprawność analizy wariantowości</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Przeprowadzone analizy wariantów są adekwatne do charakteru przedsięwzięcia. Przeanalizowano najważniejsze warianty i wybrano wariant najlepszy dla realizacji projektu, zawierający uzasadnienie wybranego wariantu.</w:t>
            </w:r>
          </w:p>
          <w:p w:rsidR="009B7BCC" w:rsidRPr="002F2E9B" w:rsidRDefault="009B7BCC" w:rsidP="006C334E">
            <w:pPr>
              <w:spacing w:after="0" w:line="240" w:lineRule="auto"/>
              <w:rPr>
                <w:rFonts w:ascii="Myriad Pro" w:eastAsia="Calibri" w:hAnsi="Myriad Pro" w:cs="Arial"/>
                <w:sz w:val="20"/>
                <w:szCs w:val="20"/>
              </w:rPr>
            </w:pPr>
            <w:r w:rsidRPr="002F2E9B">
              <w:rPr>
                <w:rFonts w:ascii="Myriad Pro" w:eastAsia="Calibri" w:hAnsi="Myriad Pro" w:cs="Arial"/>
                <w:sz w:val="20"/>
                <w:szCs w:val="20"/>
              </w:rPr>
              <w:t>Warianty zostały przygotowane pod kątem zróżnicowanego wpływu na rozwój społeczno-gospodarczy regionu.</w:t>
            </w:r>
          </w:p>
        </w:tc>
        <w:tc>
          <w:tcPr>
            <w:tcW w:w="1973" w:type="pct"/>
            <w:shd w:val="clear" w:color="auto" w:fill="auto"/>
          </w:tcPr>
          <w:p w:rsidR="009B7BCC" w:rsidRPr="002F2E9B" w:rsidRDefault="009B7BCC" w:rsidP="006C334E">
            <w:pPr>
              <w:spacing w:after="0" w:line="240" w:lineRule="auto"/>
              <w:rPr>
                <w:rFonts w:ascii="Myriad Pro" w:eastAsia="Calibri" w:hAnsi="Myriad Pro" w:cs="Arial"/>
                <w:sz w:val="20"/>
                <w:szCs w:val="20"/>
              </w:rPr>
            </w:pPr>
            <w:r w:rsidRPr="002F2E9B">
              <w:rPr>
                <w:rFonts w:ascii="Myriad Pro" w:eastAsia="Calibri" w:hAnsi="Myriad Pro" w:cs="Arial"/>
                <w:sz w:val="20"/>
                <w:szCs w:val="20"/>
              </w:rPr>
              <w:t>Spełnienie kryterium jest konieczne do przyznania dofinansowania.</w:t>
            </w:r>
            <w:r w:rsidRPr="002F2E9B">
              <w:rPr>
                <w:rFonts w:ascii="Myriad Pro" w:eastAsia="Calibri" w:hAnsi="Myriad Pro" w:cs="Arial"/>
                <w:sz w:val="20"/>
                <w:szCs w:val="20"/>
              </w:rPr>
              <w:br/>
              <w:t>Ocena spełniania kryterium polega na przypisaniu wartości logicznych „tak”, „nie”.</w:t>
            </w:r>
            <w:r w:rsidRPr="002F2E9B">
              <w:rPr>
                <w:rFonts w:ascii="Myriad Pro" w:eastAsia="Calibri" w:hAnsi="Myriad Pro" w:cs="Arial"/>
                <w:sz w:val="20"/>
                <w:szCs w:val="20"/>
              </w:rPr>
              <w:br/>
            </w:r>
          </w:p>
        </w:tc>
      </w:tr>
      <w:tr w:rsidR="009B7BCC" w:rsidRPr="002F2E9B" w:rsidTr="006C334E">
        <w:tc>
          <w:tcPr>
            <w:tcW w:w="299"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3.7</w:t>
            </w:r>
          </w:p>
        </w:tc>
        <w:tc>
          <w:tcPr>
            <w:tcW w:w="9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Calibri" w:hAnsi="Myriad Pro" w:cs="Arial"/>
                <w:sz w:val="20"/>
                <w:szCs w:val="20"/>
              </w:rPr>
              <w:t>Wiarygodność popytu</w:t>
            </w:r>
          </w:p>
        </w:tc>
        <w:tc>
          <w:tcPr>
            <w:tcW w:w="1814"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Analiza popytu spełnia minimalnie cechy:</w:t>
            </w:r>
          </w:p>
          <w:p w:rsidR="009B7BCC" w:rsidRPr="002F2E9B" w:rsidRDefault="009B7BCC" w:rsidP="009B7BCC">
            <w:pPr>
              <w:numPr>
                <w:ilvl w:val="0"/>
                <w:numId w:val="4"/>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rzetelności – przytaczane w analizie informacje (dane, wskaźniki) wymagają podania źródła/autora,</w:t>
            </w:r>
          </w:p>
          <w:p w:rsidR="009B7BCC" w:rsidRPr="002F2E9B" w:rsidRDefault="009B7BCC" w:rsidP="009B7BCC">
            <w:pPr>
              <w:numPr>
                <w:ilvl w:val="0"/>
                <w:numId w:val="4"/>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szczegółowości – informacje powinny dotyczyć obszaru lub/i grupy docelowej, której dotyczy projekt – należy unikać powoływania się na ogólne tendencje (krajowe, światowe) bez odniesienia ich do sytuacji na obszarze realizacji projektu czy grupy docelowej,</w:t>
            </w:r>
          </w:p>
          <w:p w:rsidR="009B7BCC" w:rsidRPr="002F2E9B" w:rsidRDefault="009B7BCC" w:rsidP="009B7BCC">
            <w:pPr>
              <w:numPr>
                <w:ilvl w:val="0"/>
                <w:numId w:val="4"/>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referencyjności – informacje powinny uwzględniać sytuację i tendencje w danym sektorze,</w:t>
            </w:r>
          </w:p>
          <w:p w:rsidR="009B7BCC" w:rsidRPr="002F2E9B" w:rsidRDefault="009B7BCC" w:rsidP="009B7BCC">
            <w:pPr>
              <w:numPr>
                <w:ilvl w:val="0"/>
                <w:numId w:val="4"/>
              </w:numPr>
              <w:spacing w:after="0" w:line="240" w:lineRule="auto"/>
              <w:ind w:left="360"/>
              <w:rPr>
                <w:rFonts w:ascii="Myriad Pro" w:eastAsia="Times New Roman" w:hAnsi="Myriad Pro" w:cs="Arial"/>
                <w:sz w:val="20"/>
                <w:szCs w:val="20"/>
              </w:rPr>
            </w:pPr>
            <w:r w:rsidRPr="002F2E9B">
              <w:rPr>
                <w:rFonts w:ascii="Myriad Pro" w:eastAsia="Times New Roman" w:hAnsi="Myriad Pro" w:cs="Arial"/>
                <w:sz w:val="20"/>
                <w:szCs w:val="20"/>
              </w:rPr>
              <w:t>aktualności – należy zadbać o aktualność informacji.</w:t>
            </w:r>
          </w:p>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Times New Roman" w:hAnsi="Myriad Pro" w:cs="Arial"/>
                <w:sz w:val="20"/>
                <w:szCs w:val="20"/>
              </w:rPr>
              <w:t>Szacowany popyt jest spójny z zadeklarowanymi parametrami w projekcie.</w:t>
            </w:r>
          </w:p>
        </w:tc>
        <w:tc>
          <w:tcPr>
            <w:tcW w:w="1973" w:type="pct"/>
            <w:shd w:val="clear" w:color="auto" w:fill="auto"/>
          </w:tcPr>
          <w:p w:rsidR="009B7BCC" w:rsidRPr="002F2E9B" w:rsidRDefault="009B7BCC" w:rsidP="006C334E">
            <w:pPr>
              <w:spacing w:after="0" w:line="240" w:lineRule="auto"/>
              <w:rPr>
                <w:rFonts w:ascii="Myriad Pro" w:eastAsia="Times New Roman" w:hAnsi="Myriad Pro" w:cs="Arial"/>
                <w:sz w:val="20"/>
                <w:szCs w:val="20"/>
              </w:rPr>
            </w:pPr>
            <w:r w:rsidRPr="002F2E9B">
              <w:rPr>
                <w:rFonts w:ascii="Myriad Pro" w:eastAsia="Calibri" w:hAnsi="Myriad Pro" w:cs="Arial"/>
                <w:sz w:val="20"/>
                <w:szCs w:val="20"/>
              </w:rPr>
              <w:t>Spełnienie kryterium jest konieczne do przyznania dofinansowania.</w:t>
            </w:r>
            <w:r w:rsidRPr="002F2E9B">
              <w:rPr>
                <w:rFonts w:ascii="Myriad Pro" w:eastAsia="Calibri" w:hAnsi="Myriad Pro" w:cs="Arial"/>
                <w:sz w:val="20"/>
                <w:szCs w:val="20"/>
              </w:rPr>
              <w:br/>
              <w:t>Ocena spełniania kryterium polega na przypisaniu wartości logicznych „tak”, „nie”.</w:t>
            </w:r>
            <w:r w:rsidRPr="002F2E9B">
              <w:rPr>
                <w:rFonts w:ascii="Myriad Pro" w:eastAsia="Calibri" w:hAnsi="Myriad Pro" w:cs="Arial"/>
                <w:sz w:val="20"/>
                <w:szCs w:val="20"/>
              </w:rPr>
              <w:br/>
            </w:r>
          </w:p>
        </w:tc>
      </w:tr>
    </w:tbl>
    <w:p w:rsidR="009C79B9" w:rsidRPr="009B7BCC" w:rsidRDefault="009C79B9" w:rsidP="009B7BCC">
      <w:pPr>
        <w:rPr>
          <w:szCs w:val="20"/>
        </w:rPr>
      </w:pPr>
    </w:p>
    <w:sectPr w:rsidR="009C79B9" w:rsidRPr="009B7BCC" w:rsidSect="0040692A">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CF5" w:rsidRDefault="00E06CF5" w:rsidP="006E6228">
      <w:pPr>
        <w:spacing w:after="0" w:line="240" w:lineRule="auto"/>
      </w:pPr>
      <w:r>
        <w:separator/>
      </w:r>
    </w:p>
  </w:endnote>
  <w:endnote w:type="continuationSeparator" w:id="0">
    <w:p w:rsidR="00E06CF5" w:rsidRDefault="00E06CF5" w:rsidP="006E6228">
      <w:pPr>
        <w:spacing w:after="0" w:line="240" w:lineRule="auto"/>
      </w:pPr>
      <w:r>
        <w:continuationSeparator/>
      </w:r>
    </w:p>
  </w:endnote>
  <w:endnote w:type="continuationNotice" w:id="1">
    <w:p w:rsidR="00E06CF5" w:rsidRDefault="00E06CF5">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Myriad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3571726"/>
      <w:docPartObj>
        <w:docPartGallery w:val="Page Numbers (Bottom of Page)"/>
        <w:docPartUnique/>
      </w:docPartObj>
    </w:sdtPr>
    <w:sdtEndPr>
      <w:rPr>
        <w:rFonts w:ascii="Calibri" w:hAnsi="Calibri"/>
        <w:sz w:val="16"/>
        <w:szCs w:val="16"/>
      </w:rPr>
    </w:sdtEndPr>
    <w:sdtContent>
      <w:sdt>
        <w:sdtPr>
          <w:id w:val="860082579"/>
          <w:docPartObj>
            <w:docPartGallery w:val="Page Numbers (Top of Page)"/>
            <w:docPartUnique/>
          </w:docPartObj>
        </w:sdtPr>
        <w:sdtEndPr>
          <w:rPr>
            <w:rFonts w:ascii="Calibri" w:hAnsi="Calibri"/>
            <w:sz w:val="16"/>
            <w:szCs w:val="16"/>
          </w:rPr>
        </w:sdtEndPr>
        <w:sdtContent>
          <w:p w:rsidR="000D5636" w:rsidRPr="000D5636" w:rsidRDefault="000D5636">
            <w:pPr>
              <w:pStyle w:val="Stopka"/>
              <w:jc w:val="right"/>
              <w:rPr>
                <w:rFonts w:ascii="Calibri" w:hAnsi="Calibri"/>
                <w:sz w:val="16"/>
                <w:szCs w:val="16"/>
              </w:rPr>
            </w:pPr>
            <w:r w:rsidRPr="000D5636">
              <w:rPr>
                <w:rFonts w:ascii="Calibri" w:hAnsi="Calibri"/>
                <w:sz w:val="16"/>
                <w:szCs w:val="16"/>
              </w:rPr>
              <w:t xml:space="preserve">Strona </w:t>
            </w:r>
            <w:r w:rsidR="008A46C7" w:rsidRPr="000D5636">
              <w:rPr>
                <w:rFonts w:ascii="Calibri" w:hAnsi="Calibri"/>
                <w:b/>
                <w:bCs/>
                <w:sz w:val="16"/>
                <w:szCs w:val="16"/>
              </w:rPr>
              <w:fldChar w:fldCharType="begin"/>
            </w:r>
            <w:r w:rsidRPr="000D5636">
              <w:rPr>
                <w:rFonts w:ascii="Calibri" w:hAnsi="Calibri"/>
                <w:b/>
                <w:bCs/>
                <w:sz w:val="16"/>
                <w:szCs w:val="16"/>
              </w:rPr>
              <w:instrText>PAGE</w:instrText>
            </w:r>
            <w:r w:rsidR="008A46C7" w:rsidRPr="000D5636">
              <w:rPr>
                <w:rFonts w:ascii="Calibri" w:hAnsi="Calibri"/>
                <w:b/>
                <w:bCs/>
                <w:sz w:val="16"/>
                <w:szCs w:val="16"/>
              </w:rPr>
              <w:fldChar w:fldCharType="separate"/>
            </w:r>
            <w:r w:rsidR="009B7BCC">
              <w:rPr>
                <w:rFonts w:ascii="Calibri" w:hAnsi="Calibri"/>
                <w:b/>
                <w:bCs/>
                <w:noProof/>
                <w:sz w:val="16"/>
                <w:szCs w:val="16"/>
              </w:rPr>
              <w:t>1</w:t>
            </w:r>
            <w:r w:rsidR="008A46C7" w:rsidRPr="000D5636">
              <w:rPr>
                <w:rFonts w:ascii="Calibri" w:hAnsi="Calibri"/>
                <w:b/>
                <w:bCs/>
                <w:sz w:val="16"/>
                <w:szCs w:val="16"/>
              </w:rPr>
              <w:fldChar w:fldCharType="end"/>
            </w:r>
            <w:r w:rsidRPr="000D5636">
              <w:rPr>
                <w:rFonts w:ascii="Calibri" w:hAnsi="Calibri"/>
                <w:sz w:val="16"/>
                <w:szCs w:val="16"/>
              </w:rPr>
              <w:t xml:space="preserve"> z </w:t>
            </w:r>
            <w:r w:rsidR="008A46C7" w:rsidRPr="000D5636">
              <w:rPr>
                <w:rFonts w:ascii="Calibri" w:hAnsi="Calibri"/>
                <w:b/>
                <w:bCs/>
                <w:sz w:val="16"/>
                <w:szCs w:val="16"/>
              </w:rPr>
              <w:fldChar w:fldCharType="begin"/>
            </w:r>
            <w:r w:rsidRPr="000D5636">
              <w:rPr>
                <w:rFonts w:ascii="Calibri" w:hAnsi="Calibri"/>
                <w:b/>
                <w:bCs/>
                <w:sz w:val="16"/>
                <w:szCs w:val="16"/>
              </w:rPr>
              <w:instrText>NUMPAGES</w:instrText>
            </w:r>
            <w:r w:rsidR="008A46C7" w:rsidRPr="000D5636">
              <w:rPr>
                <w:rFonts w:ascii="Calibri" w:hAnsi="Calibri"/>
                <w:b/>
                <w:bCs/>
                <w:sz w:val="16"/>
                <w:szCs w:val="16"/>
              </w:rPr>
              <w:fldChar w:fldCharType="separate"/>
            </w:r>
            <w:r w:rsidR="009B7BCC">
              <w:rPr>
                <w:rFonts w:ascii="Calibri" w:hAnsi="Calibri"/>
                <w:b/>
                <w:bCs/>
                <w:noProof/>
                <w:sz w:val="16"/>
                <w:szCs w:val="16"/>
              </w:rPr>
              <w:t>11</w:t>
            </w:r>
            <w:r w:rsidR="008A46C7" w:rsidRPr="000D5636">
              <w:rPr>
                <w:rFonts w:ascii="Calibri" w:hAnsi="Calibri"/>
                <w:b/>
                <w:bCs/>
                <w:sz w:val="16"/>
                <w:szCs w:val="16"/>
              </w:rPr>
              <w:fldChar w:fldCharType="end"/>
            </w:r>
          </w:p>
        </w:sdtContent>
      </w:sdt>
    </w:sdtContent>
  </w:sdt>
  <w:p w:rsidR="000D5636" w:rsidRDefault="000D56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CF5" w:rsidRDefault="00E06CF5" w:rsidP="006E6228">
      <w:pPr>
        <w:spacing w:after="0" w:line="240" w:lineRule="auto"/>
      </w:pPr>
      <w:r>
        <w:separator/>
      </w:r>
    </w:p>
  </w:footnote>
  <w:footnote w:type="continuationSeparator" w:id="0">
    <w:p w:rsidR="00E06CF5" w:rsidRDefault="00E06CF5" w:rsidP="006E6228">
      <w:pPr>
        <w:spacing w:after="0" w:line="240" w:lineRule="auto"/>
      </w:pPr>
      <w:r>
        <w:continuationSeparator/>
      </w:r>
    </w:p>
  </w:footnote>
  <w:footnote w:type="continuationNotice" w:id="1">
    <w:p w:rsidR="00E06CF5" w:rsidRDefault="00E06CF5">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85" w:rsidRDefault="00206A7B" w:rsidP="00F92085">
    <w:pPr>
      <w:pStyle w:val="Nagwek"/>
      <w:jc w:val="center"/>
      <w:rPr>
        <w:rFonts w:ascii="Myriad Pro" w:eastAsia="Times New Roman" w:hAnsi="Myriad Pro" w:cs="Arial"/>
        <w:b/>
        <w:bCs/>
        <w:sz w:val="20"/>
        <w:szCs w:val="20"/>
      </w:rPr>
    </w:pPr>
    <w:r w:rsidRPr="000E64FA">
      <w:rPr>
        <w:rFonts w:ascii="Myriad Pro" w:hAnsi="Myriad Pro" w:cs="Arial"/>
        <w:b/>
        <w:sz w:val="20"/>
        <w:szCs w:val="20"/>
      </w:rPr>
      <w:t xml:space="preserve">Załącznik nr 2: </w:t>
    </w:r>
    <w:r>
      <w:rPr>
        <w:rFonts w:ascii="Myriad Pro" w:hAnsi="Myriad Pro" w:cs="Arial"/>
        <w:b/>
        <w:sz w:val="20"/>
        <w:szCs w:val="20"/>
      </w:rPr>
      <w:t xml:space="preserve">Kryteria wyboru projektów </w:t>
    </w:r>
    <w:r w:rsidRPr="000E64FA">
      <w:rPr>
        <w:rFonts w:ascii="Myriad Pro" w:hAnsi="Myriad Pro" w:cs="Arial"/>
        <w:b/>
        <w:sz w:val="20"/>
        <w:szCs w:val="20"/>
      </w:rPr>
      <w:t>dla Działania 1.1</w:t>
    </w:r>
    <w:r w:rsidR="009B7BCC">
      <w:rPr>
        <w:rFonts w:ascii="Myriad Pro" w:hAnsi="Myriad Pro" w:cs="Arial"/>
        <w:b/>
        <w:sz w:val="20"/>
        <w:szCs w:val="20"/>
      </w:rPr>
      <w:t>2</w:t>
    </w:r>
  </w:p>
  <w:p w:rsidR="00206A7B" w:rsidRPr="000E64FA" w:rsidRDefault="00206A7B" w:rsidP="00F92085">
    <w:pPr>
      <w:pStyle w:val="Nagwek"/>
      <w:jc w:val="center"/>
      <w:rPr>
        <w:rFonts w:ascii="Myriad Pro" w:eastAsia="Times New Roman" w:hAnsi="Myriad Pro" w:cs="Arial"/>
        <w:b/>
        <w:bCs/>
        <w:sz w:val="20"/>
        <w:szCs w:val="20"/>
      </w:rPr>
    </w:pPr>
    <w:r w:rsidRPr="000E64FA">
      <w:rPr>
        <w:rFonts w:ascii="Myriad Pro" w:eastAsia="Times New Roman" w:hAnsi="Myriad Pro" w:cs="Arial"/>
        <w:b/>
        <w:bCs/>
        <w:sz w:val="20"/>
        <w:szCs w:val="20"/>
      </w:rPr>
      <w:t>Tworzenie i rozbudowa infrastruktur</w:t>
    </w:r>
    <w:r>
      <w:rPr>
        <w:rFonts w:ascii="Myriad Pro" w:eastAsia="Times New Roman" w:hAnsi="Myriad Pro" w:cs="Arial"/>
        <w:b/>
        <w:bCs/>
        <w:sz w:val="20"/>
        <w:szCs w:val="20"/>
      </w:rPr>
      <w:t>y na rzecz rozwoju gospodarczego</w:t>
    </w:r>
    <w:r w:rsidR="00F92085">
      <w:rPr>
        <w:rFonts w:ascii="Myriad Pro" w:eastAsia="Times New Roman" w:hAnsi="Myriad Pro" w:cs="Arial"/>
        <w:b/>
        <w:bCs/>
        <w:sz w:val="20"/>
        <w:szCs w:val="20"/>
      </w:rPr>
      <w:t xml:space="preserve"> w ramach strategii ZIT dla </w:t>
    </w:r>
    <w:proofErr w:type="spellStart"/>
    <w:r w:rsidR="009B7BCC">
      <w:rPr>
        <w:rFonts w:ascii="Myriad Pro" w:eastAsia="Times New Roman" w:hAnsi="Myriad Pro" w:cs="Arial"/>
        <w:b/>
        <w:bCs/>
        <w:sz w:val="20"/>
        <w:szCs w:val="20"/>
      </w:rPr>
      <w:t>Koszalińsko-Kołobrzesko-Białogardzkiego</w:t>
    </w:r>
    <w:proofErr w:type="spellEnd"/>
    <w:r w:rsidR="009B7BCC">
      <w:rPr>
        <w:rFonts w:ascii="Myriad Pro" w:eastAsia="Times New Roman" w:hAnsi="Myriad Pro" w:cs="Arial"/>
        <w:b/>
        <w:bCs/>
        <w:sz w:val="20"/>
        <w:szCs w:val="20"/>
      </w:rPr>
      <w:t xml:space="preserve"> Obszaru Funkcjonalnego</w:t>
    </w:r>
  </w:p>
  <w:p w:rsidR="0076179E" w:rsidRDefault="0076179E" w:rsidP="001A2839">
    <w:pPr>
      <w:pStyle w:val="Nagwek"/>
    </w:pPr>
  </w:p>
  <w:p w:rsidR="009B7BCC" w:rsidRPr="001A2839" w:rsidRDefault="009B7BCC" w:rsidP="001A283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2B66"/>
    <w:multiLevelType w:val="multilevel"/>
    <w:tmpl w:val="7E644938"/>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nsid w:val="0B4915F5"/>
    <w:multiLevelType w:val="hybridMultilevel"/>
    <w:tmpl w:val="3E5493F8"/>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89E66B5"/>
    <w:multiLevelType w:val="hybridMultilevel"/>
    <w:tmpl w:val="E800F4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20B504E"/>
    <w:multiLevelType w:val="hybridMultilevel"/>
    <w:tmpl w:val="E09429F2"/>
    <w:lvl w:ilvl="0" w:tplc="2190D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427E105C"/>
    <w:multiLevelType w:val="hybridMultilevel"/>
    <w:tmpl w:val="B8E85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ED503D2"/>
    <w:multiLevelType w:val="hybridMultilevel"/>
    <w:tmpl w:val="F8B2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60D48AC"/>
    <w:multiLevelType w:val="hybridMultilevel"/>
    <w:tmpl w:val="496290FE"/>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FA60F87"/>
    <w:multiLevelType w:val="hybridMultilevel"/>
    <w:tmpl w:val="BEA8B9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72F57084"/>
    <w:multiLevelType w:val="hybridMultilevel"/>
    <w:tmpl w:val="F8B2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62D6F4B"/>
    <w:multiLevelType w:val="hybridMultilevel"/>
    <w:tmpl w:val="E2E6494C"/>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9"/>
  </w:num>
  <w:num w:numId="4">
    <w:abstractNumId w:val="1"/>
  </w:num>
  <w:num w:numId="5">
    <w:abstractNumId w:val="5"/>
  </w:num>
  <w:num w:numId="6">
    <w:abstractNumId w:val="0"/>
  </w:num>
  <w:num w:numId="7">
    <w:abstractNumId w:val="7"/>
  </w:num>
  <w:num w:numId="8">
    <w:abstractNumId w:val="4"/>
  </w:num>
  <w:num w:numId="9">
    <w:abstractNumId w:val="3"/>
  </w:num>
  <w:num w:numId="10">
    <w:abstractNumId w:val="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braniak Anna">
    <w15:presenceInfo w15:providerId="AD" w15:userId="S-1-5-21-3393568487-1861379847-1670424583-138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Formatting/>
  <w:defaultTabStop w:val="357"/>
  <w:hyphenationZone w:val="425"/>
  <w:characterSpacingControl w:val="doNotCompress"/>
  <w:footnotePr>
    <w:footnote w:id="-1"/>
    <w:footnote w:id="0"/>
    <w:footnote w:id="1"/>
  </w:footnotePr>
  <w:endnotePr>
    <w:endnote w:id="-1"/>
    <w:endnote w:id="0"/>
    <w:endnote w:id="1"/>
  </w:endnotePr>
  <w:compat>
    <w:useFELayout/>
  </w:compat>
  <w:rsids>
    <w:rsidRoot w:val="0040692A"/>
    <w:rsid w:val="000025A1"/>
    <w:rsid w:val="000029DD"/>
    <w:rsid w:val="00005731"/>
    <w:rsid w:val="00011E9A"/>
    <w:rsid w:val="00012A5F"/>
    <w:rsid w:val="00013324"/>
    <w:rsid w:val="0001337B"/>
    <w:rsid w:val="00013897"/>
    <w:rsid w:val="000152A9"/>
    <w:rsid w:val="00020685"/>
    <w:rsid w:val="000321EE"/>
    <w:rsid w:val="00040ABB"/>
    <w:rsid w:val="00041ACD"/>
    <w:rsid w:val="00047146"/>
    <w:rsid w:val="00051506"/>
    <w:rsid w:val="0005264E"/>
    <w:rsid w:val="00055FF0"/>
    <w:rsid w:val="00057CFB"/>
    <w:rsid w:val="00062A44"/>
    <w:rsid w:val="00063F15"/>
    <w:rsid w:val="00067319"/>
    <w:rsid w:val="0007344B"/>
    <w:rsid w:val="00073776"/>
    <w:rsid w:val="000815B9"/>
    <w:rsid w:val="00081D97"/>
    <w:rsid w:val="000906F3"/>
    <w:rsid w:val="000908A0"/>
    <w:rsid w:val="0009226C"/>
    <w:rsid w:val="0009260F"/>
    <w:rsid w:val="00093C98"/>
    <w:rsid w:val="000A1B30"/>
    <w:rsid w:val="000A1FB8"/>
    <w:rsid w:val="000A50CB"/>
    <w:rsid w:val="000A6379"/>
    <w:rsid w:val="000B00D1"/>
    <w:rsid w:val="000B3823"/>
    <w:rsid w:val="000B392F"/>
    <w:rsid w:val="000B7290"/>
    <w:rsid w:val="000C0F3A"/>
    <w:rsid w:val="000C2D8C"/>
    <w:rsid w:val="000C5D39"/>
    <w:rsid w:val="000C5D66"/>
    <w:rsid w:val="000C7677"/>
    <w:rsid w:val="000D5636"/>
    <w:rsid w:val="000D6F9B"/>
    <w:rsid w:val="000D7406"/>
    <w:rsid w:val="000E1591"/>
    <w:rsid w:val="000E1BBC"/>
    <w:rsid w:val="000E3E56"/>
    <w:rsid w:val="000E4EB0"/>
    <w:rsid w:val="000E5357"/>
    <w:rsid w:val="000E5E76"/>
    <w:rsid w:val="000E6195"/>
    <w:rsid w:val="000E6A27"/>
    <w:rsid w:val="000E7AE9"/>
    <w:rsid w:val="000F108F"/>
    <w:rsid w:val="000F6703"/>
    <w:rsid w:val="000F7ADB"/>
    <w:rsid w:val="00100F53"/>
    <w:rsid w:val="00103B73"/>
    <w:rsid w:val="001068B3"/>
    <w:rsid w:val="001115E3"/>
    <w:rsid w:val="00111B6D"/>
    <w:rsid w:val="001126CF"/>
    <w:rsid w:val="001223FA"/>
    <w:rsid w:val="00123360"/>
    <w:rsid w:val="00125A7B"/>
    <w:rsid w:val="0012665D"/>
    <w:rsid w:val="00126E13"/>
    <w:rsid w:val="001315BC"/>
    <w:rsid w:val="00132163"/>
    <w:rsid w:val="00133133"/>
    <w:rsid w:val="0013438D"/>
    <w:rsid w:val="001347A4"/>
    <w:rsid w:val="00140E70"/>
    <w:rsid w:val="001421C9"/>
    <w:rsid w:val="0014421F"/>
    <w:rsid w:val="00144974"/>
    <w:rsid w:val="0014725E"/>
    <w:rsid w:val="00147466"/>
    <w:rsid w:val="00150792"/>
    <w:rsid w:val="00156AEE"/>
    <w:rsid w:val="001604E6"/>
    <w:rsid w:val="001618C5"/>
    <w:rsid w:val="00165B71"/>
    <w:rsid w:val="00170306"/>
    <w:rsid w:val="00170872"/>
    <w:rsid w:val="00174F88"/>
    <w:rsid w:val="001754C1"/>
    <w:rsid w:val="00177C0F"/>
    <w:rsid w:val="00180D40"/>
    <w:rsid w:val="00187B06"/>
    <w:rsid w:val="00192F15"/>
    <w:rsid w:val="00195B9C"/>
    <w:rsid w:val="001968E2"/>
    <w:rsid w:val="001A046F"/>
    <w:rsid w:val="001A199C"/>
    <w:rsid w:val="001A238E"/>
    <w:rsid w:val="001A2839"/>
    <w:rsid w:val="001A5C30"/>
    <w:rsid w:val="001B04AD"/>
    <w:rsid w:val="001B26FB"/>
    <w:rsid w:val="001B2A03"/>
    <w:rsid w:val="001B64EB"/>
    <w:rsid w:val="001B711C"/>
    <w:rsid w:val="001C6092"/>
    <w:rsid w:val="001D03A0"/>
    <w:rsid w:val="001D09E9"/>
    <w:rsid w:val="001D1F25"/>
    <w:rsid w:val="001D4AF9"/>
    <w:rsid w:val="001D663B"/>
    <w:rsid w:val="001D754D"/>
    <w:rsid w:val="001E19C6"/>
    <w:rsid w:val="001E31B9"/>
    <w:rsid w:val="001E4476"/>
    <w:rsid w:val="001E56CE"/>
    <w:rsid w:val="001F3772"/>
    <w:rsid w:val="001F3C79"/>
    <w:rsid w:val="001F3D23"/>
    <w:rsid w:val="001F56E9"/>
    <w:rsid w:val="001F640E"/>
    <w:rsid w:val="001F76AC"/>
    <w:rsid w:val="00200482"/>
    <w:rsid w:val="00202B67"/>
    <w:rsid w:val="002039BB"/>
    <w:rsid w:val="00206A7B"/>
    <w:rsid w:val="00215FAA"/>
    <w:rsid w:val="002175E2"/>
    <w:rsid w:val="00217AEA"/>
    <w:rsid w:val="0022123D"/>
    <w:rsid w:val="00221817"/>
    <w:rsid w:val="00226B16"/>
    <w:rsid w:val="00226FFE"/>
    <w:rsid w:val="00232433"/>
    <w:rsid w:val="00232A1C"/>
    <w:rsid w:val="0024143E"/>
    <w:rsid w:val="002414D2"/>
    <w:rsid w:val="00243A62"/>
    <w:rsid w:val="00243AF5"/>
    <w:rsid w:val="00244074"/>
    <w:rsid w:val="00255149"/>
    <w:rsid w:val="00260609"/>
    <w:rsid w:val="00260F87"/>
    <w:rsid w:val="00262126"/>
    <w:rsid w:val="0026555F"/>
    <w:rsid w:val="0026638A"/>
    <w:rsid w:val="002729FE"/>
    <w:rsid w:val="002768D8"/>
    <w:rsid w:val="00277744"/>
    <w:rsid w:val="002816B6"/>
    <w:rsid w:val="00287379"/>
    <w:rsid w:val="00287F3F"/>
    <w:rsid w:val="00293E47"/>
    <w:rsid w:val="002A4008"/>
    <w:rsid w:val="002B06DC"/>
    <w:rsid w:val="002B186D"/>
    <w:rsid w:val="002B2592"/>
    <w:rsid w:val="002B79D1"/>
    <w:rsid w:val="002C1F88"/>
    <w:rsid w:val="002C29C7"/>
    <w:rsid w:val="002C2DC5"/>
    <w:rsid w:val="002C6FE5"/>
    <w:rsid w:val="002D15C5"/>
    <w:rsid w:val="002D5E76"/>
    <w:rsid w:val="002E02B7"/>
    <w:rsid w:val="002E11C4"/>
    <w:rsid w:val="002E47CC"/>
    <w:rsid w:val="002E70A1"/>
    <w:rsid w:val="002F1109"/>
    <w:rsid w:val="002F13CA"/>
    <w:rsid w:val="002F6540"/>
    <w:rsid w:val="00300D20"/>
    <w:rsid w:val="00304909"/>
    <w:rsid w:val="003055B6"/>
    <w:rsid w:val="00307ACA"/>
    <w:rsid w:val="003107A6"/>
    <w:rsid w:val="00314072"/>
    <w:rsid w:val="0031580C"/>
    <w:rsid w:val="003165A9"/>
    <w:rsid w:val="00331237"/>
    <w:rsid w:val="00331804"/>
    <w:rsid w:val="0033283E"/>
    <w:rsid w:val="00332E2D"/>
    <w:rsid w:val="00334F58"/>
    <w:rsid w:val="00345E9F"/>
    <w:rsid w:val="0035037D"/>
    <w:rsid w:val="00351A36"/>
    <w:rsid w:val="003567BA"/>
    <w:rsid w:val="00364CD5"/>
    <w:rsid w:val="00366626"/>
    <w:rsid w:val="00367555"/>
    <w:rsid w:val="00370E21"/>
    <w:rsid w:val="00372B26"/>
    <w:rsid w:val="00373970"/>
    <w:rsid w:val="00380852"/>
    <w:rsid w:val="00390550"/>
    <w:rsid w:val="00392545"/>
    <w:rsid w:val="00394073"/>
    <w:rsid w:val="00395621"/>
    <w:rsid w:val="00397B8E"/>
    <w:rsid w:val="003A02FE"/>
    <w:rsid w:val="003A4A9D"/>
    <w:rsid w:val="003A518C"/>
    <w:rsid w:val="003A5908"/>
    <w:rsid w:val="003A6BA4"/>
    <w:rsid w:val="003B0E7C"/>
    <w:rsid w:val="003B3411"/>
    <w:rsid w:val="003B582C"/>
    <w:rsid w:val="003B5C94"/>
    <w:rsid w:val="003C0595"/>
    <w:rsid w:val="003C1D11"/>
    <w:rsid w:val="003C1EB9"/>
    <w:rsid w:val="003C20D8"/>
    <w:rsid w:val="003C31DB"/>
    <w:rsid w:val="003C3D47"/>
    <w:rsid w:val="003C401C"/>
    <w:rsid w:val="003C6C4E"/>
    <w:rsid w:val="003D1958"/>
    <w:rsid w:val="003D1F59"/>
    <w:rsid w:val="003D7F40"/>
    <w:rsid w:val="003E2333"/>
    <w:rsid w:val="003E26AB"/>
    <w:rsid w:val="003E2854"/>
    <w:rsid w:val="003E2D21"/>
    <w:rsid w:val="003F075C"/>
    <w:rsid w:val="003F41AA"/>
    <w:rsid w:val="003F48A5"/>
    <w:rsid w:val="003F5C43"/>
    <w:rsid w:val="003F5E02"/>
    <w:rsid w:val="003F66CC"/>
    <w:rsid w:val="004034BD"/>
    <w:rsid w:val="0040692A"/>
    <w:rsid w:val="00412CAA"/>
    <w:rsid w:val="00414A46"/>
    <w:rsid w:val="00415691"/>
    <w:rsid w:val="0042100B"/>
    <w:rsid w:val="004251C6"/>
    <w:rsid w:val="004271F0"/>
    <w:rsid w:val="0043104A"/>
    <w:rsid w:val="00431CC1"/>
    <w:rsid w:val="00435879"/>
    <w:rsid w:val="0043608A"/>
    <w:rsid w:val="004367C9"/>
    <w:rsid w:val="00436D7E"/>
    <w:rsid w:val="00444B2C"/>
    <w:rsid w:val="004502B1"/>
    <w:rsid w:val="00450D79"/>
    <w:rsid w:val="0045796C"/>
    <w:rsid w:val="00461C00"/>
    <w:rsid w:val="004627D9"/>
    <w:rsid w:val="00463B30"/>
    <w:rsid w:val="00465E16"/>
    <w:rsid w:val="00473362"/>
    <w:rsid w:val="00473791"/>
    <w:rsid w:val="00473E16"/>
    <w:rsid w:val="00477322"/>
    <w:rsid w:val="004802DF"/>
    <w:rsid w:val="00480AC9"/>
    <w:rsid w:val="0048213E"/>
    <w:rsid w:val="0048367F"/>
    <w:rsid w:val="00484E97"/>
    <w:rsid w:val="004869A1"/>
    <w:rsid w:val="004872EC"/>
    <w:rsid w:val="004905B8"/>
    <w:rsid w:val="00495A47"/>
    <w:rsid w:val="004A009B"/>
    <w:rsid w:val="004A19FC"/>
    <w:rsid w:val="004A3181"/>
    <w:rsid w:val="004A326F"/>
    <w:rsid w:val="004A33EC"/>
    <w:rsid w:val="004A3702"/>
    <w:rsid w:val="004A54A3"/>
    <w:rsid w:val="004B5A21"/>
    <w:rsid w:val="004B5B5B"/>
    <w:rsid w:val="004C1484"/>
    <w:rsid w:val="004C4E55"/>
    <w:rsid w:val="004C4F14"/>
    <w:rsid w:val="004C570D"/>
    <w:rsid w:val="004C5D54"/>
    <w:rsid w:val="004C6A16"/>
    <w:rsid w:val="004D168F"/>
    <w:rsid w:val="004D2861"/>
    <w:rsid w:val="004D6CE8"/>
    <w:rsid w:val="004E3C1F"/>
    <w:rsid w:val="004F3C85"/>
    <w:rsid w:val="004F50DB"/>
    <w:rsid w:val="00505E71"/>
    <w:rsid w:val="0050633B"/>
    <w:rsid w:val="00514A8A"/>
    <w:rsid w:val="005157B5"/>
    <w:rsid w:val="0051729D"/>
    <w:rsid w:val="00520724"/>
    <w:rsid w:val="00520B82"/>
    <w:rsid w:val="00521E40"/>
    <w:rsid w:val="0053422D"/>
    <w:rsid w:val="00541427"/>
    <w:rsid w:val="00541804"/>
    <w:rsid w:val="0054656F"/>
    <w:rsid w:val="00552AB0"/>
    <w:rsid w:val="00552DEA"/>
    <w:rsid w:val="00554A8B"/>
    <w:rsid w:val="005559CE"/>
    <w:rsid w:val="0056092F"/>
    <w:rsid w:val="00564914"/>
    <w:rsid w:val="00564E98"/>
    <w:rsid w:val="00575290"/>
    <w:rsid w:val="00580841"/>
    <w:rsid w:val="005841B5"/>
    <w:rsid w:val="005868CD"/>
    <w:rsid w:val="00587174"/>
    <w:rsid w:val="00590E60"/>
    <w:rsid w:val="00592264"/>
    <w:rsid w:val="00595CC4"/>
    <w:rsid w:val="005A1B67"/>
    <w:rsid w:val="005A1F23"/>
    <w:rsid w:val="005A342E"/>
    <w:rsid w:val="005A6ED2"/>
    <w:rsid w:val="005B0F0B"/>
    <w:rsid w:val="005B3004"/>
    <w:rsid w:val="005B451C"/>
    <w:rsid w:val="005B7C17"/>
    <w:rsid w:val="005C1FCA"/>
    <w:rsid w:val="005C2F81"/>
    <w:rsid w:val="005C369D"/>
    <w:rsid w:val="005C4067"/>
    <w:rsid w:val="005C4E13"/>
    <w:rsid w:val="005C6AB5"/>
    <w:rsid w:val="005D261F"/>
    <w:rsid w:val="005D28A2"/>
    <w:rsid w:val="005D3258"/>
    <w:rsid w:val="005D3A80"/>
    <w:rsid w:val="005D60D7"/>
    <w:rsid w:val="005D7EDF"/>
    <w:rsid w:val="005E083A"/>
    <w:rsid w:val="005E169A"/>
    <w:rsid w:val="005E27EF"/>
    <w:rsid w:val="005E3B4A"/>
    <w:rsid w:val="005E3BD8"/>
    <w:rsid w:val="005E41F5"/>
    <w:rsid w:val="005E4836"/>
    <w:rsid w:val="005E6CF7"/>
    <w:rsid w:val="005E6EF1"/>
    <w:rsid w:val="005F6376"/>
    <w:rsid w:val="00601DF1"/>
    <w:rsid w:val="00604BEA"/>
    <w:rsid w:val="00605A78"/>
    <w:rsid w:val="0060733B"/>
    <w:rsid w:val="00612C40"/>
    <w:rsid w:val="006139B7"/>
    <w:rsid w:val="006154F1"/>
    <w:rsid w:val="00616305"/>
    <w:rsid w:val="006200E7"/>
    <w:rsid w:val="00620183"/>
    <w:rsid w:val="00621478"/>
    <w:rsid w:val="0062399D"/>
    <w:rsid w:val="006240A7"/>
    <w:rsid w:val="00626BF2"/>
    <w:rsid w:val="00633DB7"/>
    <w:rsid w:val="006401D0"/>
    <w:rsid w:val="00642A74"/>
    <w:rsid w:val="006446A8"/>
    <w:rsid w:val="00656590"/>
    <w:rsid w:val="00656C97"/>
    <w:rsid w:val="00663152"/>
    <w:rsid w:val="00665ECF"/>
    <w:rsid w:val="006679E7"/>
    <w:rsid w:val="00676743"/>
    <w:rsid w:val="00680F1A"/>
    <w:rsid w:val="00683F24"/>
    <w:rsid w:val="00685F5D"/>
    <w:rsid w:val="006944D5"/>
    <w:rsid w:val="00695281"/>
    <w:rsid w:val="00696583"/>
    <w:rsid w:val="00697EB5"/>
    <w:rsid w:val="006A01E6"/>
    <w:rsid w:val="006A148C"/>
    <w:rsid w:val="006A5A5D"/>
    <w:rsid w:val="006A6651"/>
    <w:rsid w:val="006A6F29"/>
    <w:rsid w:val="006B2354"/>
    <w:rsid w:val="006B28F5"/>
    <w:rsid w:val="006B3853"/>
    <w:rsid w:val="006B3F6E"/>
    <w:rsid w:val="006B60B9"/>
    <w:rsid w:val="006B635D"/>
    <w:rsid w:val="006B701D"/>
    <w:rsid w:val="006C01D3"/>
    <w:rsid w:val="006C0490"/>
    <w:rsid w:val="006C1A89"/>
    <w:rsid w:val="006C42CC"/>
    <w:rsid w:val="006C4973"/>
    <w:rsid w:val="006C5D99"/>
    <w:rsid w:val="006C6ADA"/>
    <w:rsid w:val="006D0CDE"/>
    <w:rsid w:val="006D0F55"/>
    <w:rsid w:val="006D1916"/>
    <w:rsid w:val="006D1D45"/>
    <w:rsid w:val="006D2AC2"/>
    <w:rsid w:val="006D415D"/>
    <w:rsid w:val="006D735B"/>
    <w:rsid w:val="006E023D"/>
    <w:rsid w:val="006E054D"/>
    <w:rsid w:val="006E364C"/>
    <w:rsid w:val="006E3733"/>
    <w:rsid w:val="006E6228"/>
    <w:rsid w:val="006E7B78"/>
    <w:rsid w:val="006F0119"/>
    <w:rsid w:val="006F04B5"/>
    <w:rsid w:val="006F32EB"/>
    <w:rsid w:val="006F37D0"/>
    <w:rsid w:val="006F4386"/>
    <w:rsid w:val="006F7261"/>
    <w:rsid w:val="006F7A5B"/>
    <w:rsid w:val="0070176F"/>
    <w:rsid w:val="007022CF"/>
    <w:rsid w:val="00706AFD"/>
    <w:rsid w:val="00707743"/>
    <w:rsid w:val="0071026E"/>
    <w:rsid w:val="00711541"/>
    <w:rsid w:val="00723526"/>
    <w:rsid w:val="00723973"/>
    <w:rsid w:val="0072608A"/>
    <w:rsid w:val="00730540"/>
    <w:rsid w:val="007311F7"/>
    <w:rsid w:val="007342CA"/>
    <w:rsid w:val="00735664"/>
    <w:rsid w:val="00736C61"/>
    <w:rsid w:val="007378D7"/>
    <w:rsid w:val="0074048F"/>
    <w:rsid w:val="007410E4"/>
    <w:rsid w:val="00741422"/>
    <w:rsid w:val="007447A8"/>
    <w:rsid w:val="00744CD6"/>
    <w:rsid w:val="007479BD"/>
    <w:rsid w:val="00753ABF"/>
    <w:rsid w:val="00754DD3"/>
    <w:rsid w:val="00757361"/>
    <w:rsid w:val="00760005"/>
    <w:rsid w:val="0076179E"/>
    <w:rsid w:val="007617A6"/>
    <w:rsid w:val="00765B99"/>
    <w:rsid w:val="00765BE9"/>
    <w:rsid w:val="0076789E"/>
    <w:rsid w:val="00771066"/>
    <w:rsid w:val="00771E44"/>
    <w:rsid w:val="00773441"/>
    <w:rsid w:val="007764A3"/>
    <w:rsid w:val="007764F3"/>
    <w:rsid w:val="0078398C"/>
    <w:rsid w:val="00791414"/>
    <w:rsid w:val="00794199"/>
    <w:rsid w:val="00796D51"/>
    <w:rsid w:val="007A05A9"/>
    <w:rsid w:val="007A27F2"/>
    <w:rsid w:val="007A4A5A"/>
    <w:rsid w:val="007A6733"/>
    <w:rsid w:val="007A7D3B"/>
    <w:rsid w:val="007B2DED"/>
    <w:rsid w:val="007B34CE"/>
    <w:rsid w:val="007C2696"/>
    <w:rsid w:val="007C5963"/>
    <w:rsid w:val="007C68C1"/>
    <w:rsid w:val="007C7A61"/>
    <w:rsid w:val="007D1324"/>
    <w:rsid w:val="007D1CC5"/>
    <w:rsid w:val="007D23BD"/>
    <w:rsid w:val="007D4C30"/>
    <w:rsid w:val="007D4FFD"/>
    <w:rsid w:val="007D7C25"/>
    <w:rsid w:val="007E212A"/>
    <w:rsid w:val="007F09E5"/>
    <w:rsid w:val="007F1AC6"/>
    <w:rsid w:val="007F4F90"/>
    <w:rsid w:val="007F76AA"/>
    <w:rsid w:val="00803760"/>
    <w:rsid w:val="00807D50"/>
    <w:rsid w:val="00807EA4"/>
    <w:rsid w:val="00834DE5"/>
    <w:rsid w:val="008374E9"/>
    <w:rsid w:val="008408FB"/>
    <w:rsid w:val="00841582"/>
    <w:rsid w:val="00841B67"/>
    <w:rsid w:val="008468D4"/>
    <w:rsid w:val="0085082A"/>
    <w:rsid w:val="00854590"/>
    <w:rsid w:val="00856AE7"/>
    <w:rsid w:val="008571D4"/>
    <w:rsid w:val="00857F07"/>
    <w:rsid w:val="00860797"/>
    <w:rsid w:val="00865CFB"/>
    <w:rsid w:val="008750F3"/>
    <w:rsid w:val="008758F8"/>
    <w:rsid w:val="00877AFA"/>
    <w:rsid w:val="00881278"/>
    <w:rsid w:val="00882B23"/>
    <w:rsid w:val="0088747D"/>
    <w:rsid w:val="0089075F"/>
    <w:rsid w:val="00890D33"/>
    <w:rsid w:val="00893DFA"/>
    <w:rsid w:val="008941DF"/>
    <w:rsid w:val="008A0A9C"/>
    <w:rsid w:val="008A46C7"/>
    <w:rsid w:val="008B10CD"/>
    <w:rsid w:val="008B570D"/>
    <w:rsid w:val="008B5ACD"/>
    <w:rsid w:val="008B69F6"/>
    <w:rsid w:val="008D20A9"/>
    <w:rsid w:val="008D27FB"/>
    <w:rsid w:val="008D3A45"/>
    <w:rsid w:val="008D3C84"/>
    <w:rsid w:val="008D6CE7"/>
    <w:rsid w:val="008E3259"/>
    <w:rsid w:val="008F151F"/>
    <w:rsid w:val="008F2D52"/>
    <w:rsid w:val="008F7289"/>
    <w:rsid w:val="00901E01"/>
    <w:rsid w:val="00901FE1"/>
    <w:rsid w:val="009043D6"/>
    <w:rsid w:val="009045D3"/>
    <w:rsid w:val="0090633F"/>
    <w:rsid w:val="009063F0"/>
    <w:rsid w:val="00906699"/>
    <w:rsid w:val="0091338A"/>
    <w:rsid w:val="00915852"/>
    <w:rsid w:val="00922897"/>
    <w:rsid w:val="00923DD7"/>
    <w:rsid w:val="00923F41"/>
    <w:rsid w:val="0092414F"/>
    <w:rsid w:val="0093144A"/>
    <w:rsid w:val="0093578D"/>
    <w:rsid w:val="009408D6"/>
    <w:rsid w:val="0094269F"/>
    <w:rsid w:val="00943067"/>
    <w:rsid w:val="009453F8"/>
    <w:rsid w:val="009455DF"/>
    <w:rsid w:val="00950E0D"/>
    <w:rsid w:val="0095133F"/>
    <w:rsid w:val="00952B6D"/>
    <w:rsid w:val="00954BF2"/>
    <w:rsid w:val="009561D6"/>
    <w:rsid w:val="009575F9"/>
    <w:rsid w:val="00961E79"/>
    <w:rsid w:val="00965206"/>
    <w:rsid w:val="00967885"/>
    <w:rsid w:val="00970C99"/>
    <w:rsid w:val="00973700"/>
    <w:rsid w:val="0097529C"/>
    <w:rsid w:val="009762D3"/>
    <w:rsid w:val="00980657"/>
    <w:rsid w:val="0098268C"/>
    <w:rsid w:val="00984A69"/>
    <w:rsid w:val="0098703C"/>
    <w:rsid w:val="00993CE5"/>
    <w:rsid w:val="00993DF9"/>
    <w:rsid w:val="009A1FD0"/>
    <w:rsid w:val="009A2199"/>
    <w:rsid w:val="009A67C8"/>
    <w:rsid w:val="009A75B6"/>
    <w:rsid w:val="009A7C33"/>
    <w:rsid w:val="009B7BCC"/>
    <w:rsid w:val="009C3669"/>
    <w:rsid w:val="009C440D"/>
    <w:rsid w:val="009C5C45"/>
    <w:rsid w:val="009C79B9"/>
    <w:rsid w:val="009D02C0"/>
    <w:rsid w:val="009D0CFC"/>
    <w:rsid w:val="009D3CE8"/>
    <w:rsid w:val="009D7C72"/>
    <w:rsid w:val="009E14B2"/>
    <w:rsid w:val="009E37E0"/>
    <w:rsid w:val="009E5E19"/>
    <w:rsid w:val="009F0999"/>
    <w:rsid w:val="009F1124"/>
    <w:rsid w:val="009F4DA0"/>
    <w:rsid w:val="009F5169"/>
    <w:rsid w:val="009F6250"/>
    <w:rsid w:val="009F701F"/>
    <w:rsid w:val="00A03D34"/>
    <w:rsid w:val="00A0440B"/>
    <w:rsid w:val="00A05981"/>
    <w:rsid w:val="00A06BF2"/>
    <w:rsid w:val="00A072A0"/>
    <w:rsid w:val="00A07B47"/>
    <w:rsid w:val="00A07D0B"/>
    <w:rsid w:val="00A10370"/>
    <w:rsid w:val="00A210A4"/>
    <w:rsid w:val="00A2154E"/>
    <w:rsid w:val="00A21CEF"/>
    <w:rsid w:val="00A2677F"/>
    <w:rsid w:val="00A26974"/>
    <w:rsid w:val="00A32571"/>
    <w:rsid w:val="00A336DD"/>
    <w:rsid w:val="00A413F4"/>
    <w:rsid w:val="00A46446"/>
    <w:rsid w:val="00A467C8"/>
    <w:rsid w:val="00A52640"/>
    <w:rsid w:val="00A530AD"/>
    <w:rsid w:val="00A56F75"/>
    <w:rsid w:val="00A61861"/>
    <w:rsid w:val="00A634D9"/>
    <w:rsid w:val="00A64D85"/>
    <w:rsid w:val="00A802E3"/>
    <w:rsid w:val="00A807C0"/>
    <w:rsid w:val="00A83825"/>
    <w:rsid w:val="00A8422B"/>
    <w:rsid w:val="00A870CC"/>
    <w:rsid w:val="00A953FD"/>
    <w:rsid w:val="00A96C6B"/>
    <w:rsid w:val="00A97102"/>
    <w:rsid w:val="00A97723"/>
    <w:rsid w:val="00AA0346"/>
    <w:rsid w:val="00AA03E0"/>
    <w:rsid w:val="00AA1427"/>
    <w:rsid w:val="00AB5899"/>
    <w:rsid w:val="00AB6909"/>
    <w:rsid w:val="00AB6937"/>
    <w:rsid w:val="00AC121B"/>
    <w:rsid w:val="00AC7E2A"/>
    <w:rsid w:val="00AD078D"/>
    <w:rsid w:val="00AD420E"/>
    <w:rsid w:val="00AE0125"/>
    <w:rsid w:val="00AE0293"/>
    <w:rsid w:val="00AE0D85"/>
    <w:rsid w:val="00AE39B6"/>
    <w:rsid w:val="00AE50AD"/>
    <w:rsid w:val="00AF15C3"/>
    <w:rsid w:val="00AF2A2E"/>
    <w:rsid w:val="00AF2FFD"/>
    <w:rsid w:val="00AF6D0A"/>
    <w:rsid w:val="00B0042B"/>
    <w:rsid w:val="00B02F2D"/>
    <w:rsid w:val="00B13E65"/>
    <w:rsid w:val="00B147DC"/>
    <w:rsid w:val="00B172D0"/>
    <w:rsid w:val="00B17DCB"/>
    <w:rsid w:val="00B22C25"/>
    <w:rsid w:val="00B23875"/>
    <w:rsid w:val="00B23FB8"/>
    <w:rsid w:val="00B2492A"/>
    <w:rsid w:val="00B2586E"/>
    <w:rsid w:val="00B266E3"/>
    <w:rsid w:val="00B32A4B"/>
    <w:rsid w:val="00B36DC1"/>
    <w:rsid w:val="00B416B1"/>
    <w:rsid w:val="00B417E1"/>
    <w:rsid w:val="00B47392"/>
    <w:rsid w:val="00B50FCE"/>
    <w:rsid w:val="00B53C6B"/>
    <w:rsid w:val="00B53EFE"/>
    <w:rsid w:val="00B56BE4"/>
    <w:rsid w:val="00B60E2C"/>
    <w:rsid w:val="00B61686"/>
    <w:rsid w:val="00B619BA"/>
    <w:rsid w:val="00B6463F"/>
    <w:rsid w:val="00B66F95"/>
    <w:rsid w:val="00B675AB"/>
    <w:rsid w:val="00B75C83"/>
    <w:rsid w:val="00B762A0"/>
    <w:rsid w:val="00B765A0"/>
    <w:rsid w:val="00B81A3F"/>
    <w:rsid w:val="00B81F5C"/>
    <w:rsid w:val="00B83BF0"/>
    <w:rsid w:val="00B84A27"/>
    <w:rsid w:val="00B86910"/>
    <w:rsid w:val="00B9204D"/>
    <w:rsid w:val="00B922B9"/>
    <w:rsid w:val="00B929F3"/>
    <w:rsid w:val="00B94AC2"/>
    <w:rsid w:val="00BA165B"/>
    <w:rsid w:val="00BA18E7"/>
    <w:rsid w:val="00BA2221"/>
    <w:rsid w:val="00BB0B00"/>
    <w:rsid w:val="00BB10AC"/>
    <w:rsid w:val="00BB2238"/>
    <w:rsid w:val="00BB4FF2"/>
    <w:rsid w:val="00BB5392"/>
    <w:rsid w:val="00BB5615"/>
    <w:rsid w:val="00BB6719"/>
    <w:rsid w:val="00BC5DA3"/>
    <w:rsid w:val="00BC5E65"/>
    <w:rsid w:val="00BC670F"/>
    <w:rsid w:val="00BC7FB0"/>
    <w:rsid w:val="00BD0E80"/>
    <w:rsid w:val="00BD1B2F"/>
    <w:rsid w:val="00BD2028"/>
    <w:rsid w:val="00BD4565"/>
    <w:rsid w:val="00BD4D88"/>
    <w:rsid w:val="00BD5CB3"/>
    <w:rsid w:val="00BD7E89"/>
    <w:rsid w:val="00BE1469"/>
    <w:rsid w:val="00BE2728"/>
    <w:rsid w:val="00BE35DC"/>
    <w:rsid w:val="00BE3697"/>
    <w:rsid w:val="00BE77BF"/>
    <w:rsid w:val="00BE7868"/>
    <w:rsid w:val="00BF24C6"/>
    <w:rsid w:val="00BF3701"/>
    <w:rsid w:val="00BF58B2"/>
    <w:rsid w:val="00BF5AD8"/>
    <w:rsid w:val="00C02C3A"/>
    <w:rsid w:val="00C0432E"/>
    <w:rsid w:val="00C0549A"/>
    <w:rsid w:val="00C07D2A"/>
    <w:rsid w:val="00C10C78"/>
    <w:rsid w:val="00C10ECA"/>
    <w:rsid w:val="00C11B10"/>
    <w:rsid w:val="00C14379"/>
    <w:rsid w:val="00C1544D"/>
    <w:rsid w:val="00C15500"/>
    <w:rsid w:val="00C20D8A"/>
    <w:rsid w:val="00C212FC"/>
    <w:rsid w:val="00C2619C"/>
    <w:rsid w:val="00C31DB4"/>
    <w:rsid w:val="00C35729"/>
    <w:rsid w:val="00C4046F"/>
    <w:rsid w:val="00C4150A"/>
    <w:rsid w:val="00C474E4"/>
    <w:rsid w:val="00C47EFB"/>
    <w:rsid w:val="00C52F42"/>
    <w:rsid w:val="00C53452"/>
    <w:rsid w:val="00C54DC6"/>
    <w:rsid w:val="00C5523B"/>
    <w:rsid w:val="00C55F7A"/>
    <w:rsid w:val="00C60FC3"/>
    <w:rsid w:val="00C65541"/>
    <w:rsid w:val="00C725ED"/>
    <w:rsid w:val="00C72A61"/>
    <w:rsid w:val="00C73381"/>
    <w:rsid w:val="00C734F2"/>
    <w:rsid w:val="00C7654A"/>
    <w:rsid w:val="00C81C7C"/>
    <w:rsid w:val="00C85038"/>
    <w:rsid w:val="00C85A0F"/>
    <w:rsid w:val="00C9116B"/>
    <w:rsid w:val="00C91D8D"/>
    <w:rsid w:val="00C953FD"/>
    <w:rsid w:val="00C96C1E"/>
    <w:rsid w:val="00C97506"/>
    <w:rsid w:val="00CA3807"/>
    <w:rsid w:val="00CA3C19"/>
    <w:rsid w:val="00CA5DCA"/>
    <w:rsid w:val="00CA78AB"/>
    <w:rsid w:val="00CB1035"/>
    <w:rsid w:val="00CB1839"/>
    <w:rsid w:val="00CB2195"/>
    <w:rsid w:val="00CB43B5"/>
    <w:rsid w:val="00CC4C10"/>
    <w:rsid w:val="00CC78D0"/>
    <w:rsid w:val="00CC7D7A"/>
    <w:rsid w:val="00CD007D"/>
    <w:rsid w:val="00CD2DF7"/>
    <w:rsid w:val="00CD4699"/>
    <w:rsid w:val="00CD69DB"/>
    <w:rsid w:val="00CD6D1F"/>
    <w:rsid w:val="00CD7251"/>
    <w:rsid w:val="00CE1789"/>
    <w:rsid w:val="00CE2492"/>
    <w:rsid w:val="00CE2E54"/>
    <w:rsid w:val="00CE41C0"/>
    <w:rsid w:val="00CE6AB6"/>
    <w:rsid w:val="00CF12BF"/>
    <w:rsid w:val="00CF16A3"/>
    <w:rsid w:val="00CF1E46"/>
    <w:rsid w:val="00CF2F45"/>
    <w:rsid w:val="00CF71EA"/>
    <w:rsid w:val="00CF7394"/>
    <w:rsid w:val="00CF7F14"/>
    <w:rsid w:val="00D01FDC"/>
    <w:rsid w:val="00D0407B"/>
    <w:rsid w:val="00D109BB"/>
    <w:rsid w:val="00D11A5B"/>
    <w:rsid w:val="00D157A8"/>
    <w:rsid w:val="00D15FB1"/>
    <w:rsid w:val="00D173A3"/>
    <w:rsid w:val="00D20768"/>
    <w:rsid w:val="00D2268A"/>
    <w:rsid w:val="00D228C8"/>
    <w:rsid w:val="00D239FA"/>
    <w:rsid w:val="00D27927"/>
    <w:rsid w:val="00D30916"/>
    <w:rsid w:val="00D3321D"/>
    <w:rsid w:val="00D338B0"/>
    <w:rsid w:val="00D34E4F"/>
    <w:rsid w:val="00D40B4C"/>
    <w:rsid w:val="00D40E4C"/>
    <w:rsid w:val="00D43663"/>
    <w:rsid w:val="00D453E7"/>
    <w:rsid w:val="00D46466"/>
    <w:rsid w:val="00D62169"/>
    <w:rsid w:val="00D63DD3"/>
    <w:rsid w:val="00D678EF"/>
    <w:rsid w:val="00D73FB2"/>
    <w:rsid w:val="00D7405D"/>
    <w:rsid w:val="00D74186"/>
    <w:rsid w:val="00D80E36"/>
    <w:rsid w:val="00D81070"/>
    <w:rsid w:val="00D824E4"/>
    <w:rsid w:val="00D83297"/>
    <w:rsid w:val="00D90D23"/>
    <w:rsid w:val="00D914A8"/>
    <w:rsid w:val="00D9231E"/>
    <w:rsid w:val="00D94B23"/>
    <w:rsid w:val="00D97D20"/>
    <w:rsid w:val="00DA2E45"/>
    <w:rsid w:val="00DA372C"/>
    <w:rsid w:val="00DA4A17"/>
    <w:rsid w:val="00DA4E6F"/>
    <w:rsid w:val="00DA5612"/>
    <w:rsid w:val="00DB2D18"/>
    <w:rsid w:val="00DB2D49"/>
    <w:rsid w:val="00DB3C7C"/>
    <w:rsid w:val="00DB51C0"/>
    <w:rsid w:val="00DB56FE"/>
    <w:rsid w:val="00DC2424"/>
    <w:rsid w:val="00DC2C97"/>
    <w:rsid w:val="00DC3A66"/>
    <w:rsid w:val="00DC6B7D"/>
    <w:rsid w:val="00DC6D17"/>
    <w:rsid w:val="00DD0DD7"/>
    <w:rsid w:val="00DD2333"/>
    <w:rsid w:val="00DD2915"/>
    <w:rsid w:val="00DD2B8E"/>
    <w:rsid w:val="00DD39A7"/>
    <w:rsid w:val="00DD5451"/>
    <w:rsid w:val="00DD7DEA"/>
    <w:rsid w:val="00DE2DD4"/>
    <w:rsid w:val="00DE5D37"/>
    <w:rsid w:val="00DF2688"/>
    <w:rsid w:val="00DF5C0C"/>
    <w:rsid w:val="00E00ECE"/>
    <w:rsid w:val="00E0468A"/>
    <w:rsid w:val="00E05698"/>
    <w:rsid w:val="00E05D3F"/>
    <w:rsid w:val="00E06CF5"/>
    <w:rsid w:val="00E074BD"/>
    <w:rsid w:val="00E137AC"/>
    <w:rsid w:val="00E15C6A"/>
    <w:rsid w:val="00E15C6F"/>
    <w:rsid w:val="00E16999"/>
    <w:rsid w:val="00E209FE"/>
    <w:rsid w:val="00E24AE7"/>
    <w:rsid w:val="00E33B4A"/>
    <w:rsid w:val="00E33DB1"/>
    <w:rsid w:val="00E3400E"/>
    <w:rsid w:val="00E5111E"/>
    <w:rsid w:val="00E56C00"/>
    <w:rsid w:val="00E61A99"/>
    <w:rsid w:val="00E64830"/>
    <w:rsid w:val="00E64D6A"/>
    <w:rsid w:val="00E66B22"/>
    <w:rsid w:val="00E811A5"/>
    <w:rsid w:val="00E82F20"/>
    <w:rsid w:val="00E83B34"/>
    <w:rsid w:val="00E86EFD"/>
    <w:rsid w:val="00E979EB"/>
    <w:rsid w:val="00E979FE"/>
    <w:rsid w:val="00EB0E9D"/>
    <w:rsid w:val="00EB1FD8"/>
    <w:rsid w:val="00EB4234"/>
    <w:rsid w:val="00EC47D7"/>
    <w:rsid w:val="00EC5C88"/>
    <w:rsid w:val="00EC6523"/>
    <w:rsid w:val="00EC70A3"/>
    <w:rsid w:val="00EC7AB9"/>
    <w:rsid w:val="00ED4171"/>
    <w:rsid w:val="00ED4FB7"/>
    <w:rsid w:val="00EE3B7A"/>
    <w:rsid w:val="00EE69F1"/>
    <w:rsid w:val="00EF1677"/>
    <w:rsid w:val="00EF16DF"/>
    <w:rsid w:val="00EF4647"/>
    <w:rsid w:val="00EF77D9"/>
    <w:rsid w:val="00F011F0"/>
    <w:rsid w:val="00F02175"/>
    <w:rsid w:val="00F05339"/>
    <w:rsid w:val="00F05416"/>
    <w:rsid w:val="00F106B6"/>
    <w:rsid w:val="00F117B6"/>
    <w:rsid w:val="00F16A1C"/>
    <w:rsid w:val="00F21CB1"/>
    <w:rsid w:val="00F24696"/>
    <w:rsid w:val="00F24918"/>
    <w:rsid w:val="00F270C3"/>
    <w:rsid w:val="00F27F94"/>
    <w:rsid w:val="00F34716"/>
    <w:rsid w:val="00F37EDC"/>
    <w:rsid w:val="00F420C3"/>
    <w:rsid w:val="00F44432"/>
    <w:rsid w:val="00F50F4D"/>
    <w:rsid w:val="00F51ABC"/>
    <w:rsid w:val="00F51FCE"/>
    <w:rsid w:val="00F5513B"/>
    <w:rsid w:val="00F5608C"/>
    <w:rsid w:val="00F57A3D"/>
    <w:rsid w:val="00F63D2F"/>
    <w:rsid w:val="00F641B7"/>
    <w:rsid w:val="00F70B26"/>
    <w:rsid w:val="00F70C15"/>
    <w:rsid w:val="00F74573"/>
    <w:rsid w:val="00F777DD"/>
    <w:rsid w:val="00F80332"/>
    <w:rsid w:val="00F804D2"/>
    <w:rsid w:val="00F80D84"/>
    <w:rsid w:val="00F81119"/>
    <w:rsid w:val="00F811DC"/>
    <w:rsid w:val="00F81DE4"/>
    <w:rsid w:val="00F82CAC"/>
    <w:rsid w:val="00F838D6"/>
    <w:rsid w:val="00F92085"/>
    <w:rsid w:val="00F94C8E"/>
    <w:rsid w:val="00F969DF"/>
    <w:rsid w:val="00F97709"/>
    <w:rsid w:val="00FA2ADE"/>
    <w:rsid w:val="00FA3891"/>
    <w:rsid w:val="00FB1443"/>
    <w:rsid w:val="00FB5DE6"/>
    <w:rsid w:val="00FB64AE"/>
    <w:rsid w:val="00FB69A7"/>
    <w:rsid w:val="00FB7A5D"/>
    <w:rsid w:val="00FC0362"/>
    <w:rsid w:val="00FC0BA6"/>
    <w:rsid w:val="00FC46DD"/>
    <w:rsid w:val="00FC7213"/>
    <w:rsid w:val="00FC75B8"/>
    <w:rsid w:val="00FD0824"/>
    <w:rsid w:val="00FD59C3"/>
    <w:rsid w:val="00FD710D"/>
    <w:rsid w:val="00FE29D1"/>
    <w:rsid w:val="00FE2FC2"/>
    <w:rsid w:val="00FE4225"/>
    <w:rsid w:val="00FE4E67"/>
    <w:rsid w:val="00FE594F"/>
    <w:rsid w:val="00FE5EFA"/>
    <w:rsid w:val="00FF0884"/>
    <w:rsid w:val="00FF4F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5451"/>
  </w:style>
  <w:style w:type="paragraph" w:styleId="Nagwek1">
    <w:name w:val="heading 1"/>
    <w:basedOn w:val="Normalny"/>
    <w:next w:val="Normalny"/>
    <w:link w:val="Nagwek1Znak"/>
    <w:uiPriority w:val="9"/>
    <w:qFormat/>
    <w:rsid w:val="00B13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B13E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3E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6228"/>
  </w:style>
  <w:style w:type="paragraph" w:styleId="Stopka">
    <w:name w:val="footer"/>
    <w:basedOn w:val="Normalny"/>
    <w:link w:val="StopkaZnak"/>
    <w:uiPriority w:val="99"/>
    <w:unhideWhenUsed/>
    <w:rsid w:val="00B13E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6228"/>
  </w:style>
  <w:style w:type="paragraph" w:styleId="Akapitzlist">
    <w:name w:val="List Paragraph"/>
    <w:basedOn w:val="Normalny"/>
    <w:link w:val="AkapitzlistZnak"/>
    <w:uiPriority w:val="34"/>
    <w:qFormat/>
    <w:rsid w:val="00B13E65"/>
    <w:pPr>
      <w:ind w:left="720"/>
      <w:contextualSpacing/>
    </w:pPr>
  </w:style>
  <w:style w:type="table" w:styleId="Tabela-Siatka">
    <w:name w:val="Table Grid"/>
    <w:basedOn w:val="Standardowy"/>
    <w:uiPriority w:val="59"/>
    <w:rsid w:val="004C4F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737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3776"/>
    <w:rPr>
      <w:rFonts w:ascii="Tahoma" w:hAnsi="Tahoma" w:cs="Tahoma"/>
      <w:sz w:val="16"/>
      <w:szCs w:val="16"/>
    </w:rPr>
  </w:style>
  <w:style w:type="character" w:customStyle="1" w:styleId="Nagwek1Znak">
    <w:name w:val="Nagłówek 1 Znak"/>
    <w:basedOn w:val="Domylnaczcionkaakapitu"/>
    <w:link w:val="Nagwek1"/>
    <w:uiPriority w:val="9"/>
    <w:rsid w:val="00DB3C7C"/>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B13E65"/>
    <w:pPr>
      <w:outlineLvl w:val="9"/>
    </w:pPr>
  </w:style>
  <w:style w:type="character" w:customStyle="1" w:styleId="Nagwek2Znak">
    <w:name w:val="Nagłówek 2 Znak"/>
    <w:basedOn w:val="Domylnaczcionkaakapitu"/>
    <w:link w:val="Nagwek2"/>
    <w:uiPriority w:val="9"/>
    <w:semiHidden/>
    <w:rsid w:val="00BD5CB3"/>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B13E65"/>
    <w:pPr>
      <w:spacing w:after="100"/>
    </w:pPr>
  </w:style>
  <w:style w:type="paragraph" w:styleId="Spistreci2">
    <w:name w:val="toc 2"/>
    <w:basedOn w:val="Normalny"/>
    <w:next w:val="Normalny"/>
    <w:autoRedefine/>
    <w:uiPriority w:val="39"/>
    <w:unhideWhenUsed/>
    <w:rsid w:val="00B13E65"/>
    <w:pPr>
      <w:spacing w:after="100"/>
      <w:ind w:left="220"/>
    </w:pPr>
  </w:style>
  <w:style w:type="character" w:styleId="Hipercze">
    <w:name w:val="Hyperlink"/>
    <w:basedOn w:val="Domylnaczcionkaakapitu"/>
    <w:uiPriority w:val="99"/>
    <w:unhideWhenUsed/>
    <w:rsid w:val="00B13E65"/>
    <w:rPr>
      <w:color w:val="0000FF" w:themeColor="hyperlink"/>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unhideWhenUsed/>
    <w:rsid w:val="00B13E6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F57A3D"/>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F57A3D"/>
    <w:rPr>
      <w:vertAlign w:val="superscript"/>
    </w:rPr>
  </w:style>
  <w:style w:type="paragraph" w:customStyle="1" w:styleId="Normalny1">
    <w:name w:val="Normalny1"/>
    <w:uiPriority w:val="99"/>
    <w:rsid w:val="00C73381"/>
    <w:pPr>
      <w:spacing w:after="0" w:line="240" w:lineRule="auto"/>
    </w:pPr>
    <w:rPr>
      <w:rFonts w:ascii="Times New Roman" w:eastAsia="ヒラギノ角ゴ Pro W3" w:hAnsi="Times New Roman" w:cs="Times New Roman"/>
      <w:color w:val="000000"/>
      <w:sz w:val="24"/>
      <w:szCs w:val="20"/>
    </w:rPr>
  </w:style>
  <w:style w:type="character" w:customStyle="1" w:styleId="AkapitzlistZnak">
    <w:name w:val="Akapit z listą Znak"/>
    <w:link w:val="Akapitzlist"/>
    <w:uiPriority w:val="34"/>
    <w:locked/>
    <w:rsid w:val="00CF7F14"/>
  </w:style>
  <w:style w:type="paragraph" w:styleId="Tekstkomentarza">
    <w:name w:val="annotation text"/>
    <w:basedOn w:val="Normalny"/>
    <w:link w:val="TekstkomentarzaZnak"/>
    <w:uiPriority w:val="99"/>
    <w:unhideWhenUsed/>
    <w:rsid w:val="00B13E65"/>
    <w:pPr>
      <w:spacing w:line="240" w:lineRule="auto"/>
    </w:pPr>
    <w:rPr>
      <w:sz w:val="20"/>
      <w:szCs w:val="20"/>
    </w:rPr>
  </w:style>
  <w:style w:type="character" w:customStyle="1" w:styleId="TekstkomentarzaZnak">
    <w:name w:val="Tekst komentarza Znak"/>
    <w:basedOn w:val="Domylnaczcionkaakapitu"/>
    <w:link w:val="Tekstkomentarza"/>
    <w:uiPriority w:val="99"/>
    <w:rsid w:val="0098703C"/>
    <w:rPr>
      <w:sz w:val="20"/>
      <w:szCs w:val="20"/>
    </w:rPr>
  </w:style>
  <w:style w:type="character" w:styleId="Odwoaniedokomentarza">
    <w:name w:val="annotation reference"/>
    <w:uiPriority w:val="99"/>
    <w:semiHidden/>
    <w:unhideWhenUsed/>
    <w:rsid w:val="0098703C"/>
    <w:rPr>
      <w:sz w:val="16"/>
      <w:szCs w:val="16"/>
    </w:rPr>
  </w:style>
  <w:style w:type="paragraph" w:styleId="Tematkomentarza">
    <w:name w:val="annotation subject"/>
    <w:basedOn w:val="Tekstkomentarza"/>
    <w:next w:val="Tekstkomentarza"/>
    <w:link w:val="TematkomentarzaZnak"/>
    <w:uiPriority w:val="99"/>
    <w:semiHidden/>
    <w:unhideWhenUsed/>
    <w:rsid w:val="00B13E65"/>
    <w:rPr>
      <w:b/>
      <w:bCs/>
    </w:rPr>
  </w:style>
  <w:style w:type="character" w:customStyle="1" w:styleId="TematkomentarzaZnak">
    <w:name w:val="Temat komentarza Znak"/>
    <w:basedOn w:val="TekstkomentarzaZnak"/>
    <w:link w:val="Tematkomentarza"/>
    <w:uiPriority w:val="99"/>
    <w:semiHidden/>
    <w:rsid w:val="002E11C4"/>
    <w:rPr>
      <w:b/>
      <w:bCs/>
      <w:sz w:val="20"/>
      <w:szCs w:val="20"/>
    </w:rPr>
  </w:style>
  <w:style w:type="paragraph" w:styleId="Poprawka">
    <w:name w:val="Revision"/>
    <w:hidden/>
    <w:uiPriority w:val="99"/>
    <w:semiHidden/>
    <w:rsid w:val="00B13E65"/>
    <w:pPr>
      <w:spacing w:after="0" w:line="240" w:lineRule="auto"/>
    </w:pPr>
  </w:style>
  <w:style w:type="paragraph" w:customStyle="1" w:styleId="Default">
    <w:name w:val="Default"/>
    <w:rsid w:val="00D97D20"/>
    <w:pPr>
      <w:autoSpaceDE w:val="0"/>
      <w:autoSpaceDN w:val="0"/>
      <w:adjustRightInd w:val="0"/>
      <w:spacing w:after="0" w:line="240" w:lineRule="auto"/>
    </w:pPr>
    <w:rPr>
      <w:rFonts w:ascii="Calibri" w:eastAsia="Calibri" w:hAnsi="Calibri" w:cs="Calibri"/>
      <w:color w:val="000000"/>
      <w:sz w:val="24"/>
      <w:szCs w:val="24"/>
    </w:rPr>
  </w:style>
  <w:style w:type="character" w:customStyle="1" w:styleId="h2">
    <w:name w:val="h2"/>
    <w:basedOn w:val="Domylnaczcionkaakapitu"/>
    <w:rsid w:val="00F80332"/>
  </w:style>
  <w:style w:type="paragraph" w:customStyle="1" w:styleId="ZnakZnak4">
    <w:name w:val="Znak Znak4"/>
    <w:basedOn w:val="Normalny"/>
    <w:rsid w:val="00484E97"/>
    <w:pPr>
      <w:spacing w:after="0" w:line="360" w:lineRule="auto"/>
      <w:jc w:val="both"/>
    </w:pPr>
    <w:rPr>
      <w:rFonts w:ascii="Verdana" w:eastAsia="Times New Roman" w:hAnsi="Verdana" w:cs="Times New Roman"/>
      <w:sz w:val="20"/>
      <w:szCs w:val="20"/>
    </w:rPr>
  </w:style>
  <w:style w:type="table" w:customStyle="1" w:styleId="Tabela-Siatka11">
    <w:name w:val="Tabela - Siatka11"/>
    <w:basedOn w:val="Standardowy"/>
    <w:uiPriority w:val="59"/>
    <w:rsid w:val="001A2839"/>
    <w:pPr>
      <w:spacing w:after="0" w:line="240" w:lineRule="auto"/>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1A2839"/>
    <w:pPr>
      <w:spacing w:after="0" w:line="240" w:lineRule="auto"/>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1A2839"/>
    <w:pPr>
      <w:spacing w:after="0" w:line="240" w:lineRule="auto"/>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1A2839"/>
    <w:pPr>
      <w:spacing w:after="0" w:line="240" w:lineRule="auto"/>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next w:val="Tabela-Siatka"/>
    <w:uiPriority w:val="59"/>
    <w:rsid w:val="001A2839"/>
    <w:pPr>
      <w:spacing w:after="0" w:line="240" w:lineRule="auto"/>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
    <w:name w:val="Tabela - Siatka10"/>
    <w:basedOn w:val="Standardowy"/>
    <w:next w:val="Tabela-Siatka"/>
    <w:uiPriority w:val="59"/>
    <w:rsid w:val="00F117B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13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B13E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3E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6228"/>
  </w:style>
  <w:style w:type="paragraph" w:styleId="Stopka">
    <w:name w:val="footer"/>
    <w:basedOn w:val="Normalny"/>
    <w:link w:val="StopkaZnak"/>
    <w:uiPriority w:val="99"/>
    <w:unhideWhenUsed/>
    <w:rsid w:val="00B13E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6228"/>
  </w:style>
  <w:style w:type="paragraph" w:styleId="Akapitzlist">
    <w:name w:val="List Paragraph"/>
    <w:basedOn w:val="Normalny"/>
    <w:link w:val="AkapitzlistZnak"/>
    <w:uiPriority w:val="34"/>
    <w:qFormat/>
    <w:rsid w:val="00B13E65"/>
    <w:pPr>
      <w:ind w:left="720"/>
      <w:contextualSpacing/>
    </w:pPr>
  </w:style>
  <w:style w:type="table" w:styleId="Tabela-Siatka">
    <w:name w:val="Table Grid"/>
    <w:basedOn w:val="Standardowy"/>
    <w:uiPriority w:val="59"/>
    <w:rsid w:val="004C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737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3776"/>
    <w:rPr>
      <w:rFonts w:ascii="Tahoma" w:hAnsi="Tahoma" w:cs="Tahoma"/>
      <w:sz w:val="16"/>
      <w:szCs w:val="16"/>
    </w:rPr>
  </w:style>
  <w:style w:type="character" w:customStyle="1" w:styleId="Nagwek1Znak">
    <w:name w:val="Nagłówek 1 Znak"/>
    <w:basedOn w:val="Domylnaczcionkaakapitu"/>
    <w:link w:val="Nagwek1"/>
    <w:uiPriority w:val="9"/>
    <w:rsid w:val="00DB3C7C"/>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B13E65"/>
    <w:pPr>
      <w:outlineLvl w:val="9"/>
    </w:pPr>
  </w:style>
  <w:style w:type="character" w:customStyle="1" w:styleId="Nagwek2Znak">
    <w:name w:val="Nagłówek 2 Znak"/>
    <w:basedOn w:val="Domylnaczcionkaakapitu"/>
    <w:link w:val="Nagwek2"/>
    <w:uiPriority w:val="9"/>
    <w:semiHidden/>
    <w:rsid w:val="00BD5CB3"/>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B13E65"/>
    <w:pPr>
      <w:spacing w:after="100"/>
    </w:pPr>
  </w:style>
  <w:style w:type="paragraph" w:styleId="Spistreci2">
    <w:name w:val="toc 2"/>
    <w:basedOn w:val="Normalny"/>
    <w:next w:val="Normalny"/>
    <w:autoRedefine/>
    <w:uiPriority w:val="39"/>
    <w:unhideWhenUsed/>
    <w:rsid w:val="00B13E65"/>
    <w:pPr>
      <w:spacing w:after="100"/>
      <w:ind w:left="220"/>
    </w:pPr>
  </w:style>
  <w:style w:type="character" w:styleId="Hipercze">
    <w:name w:val="Hyperlink"/>
    <w:basedOn w:val="Domylnaczcionkaakapitu"/>
    <w:uiPriority w:val="99"/>
    <w:unhideWhenUsed/>
    <w:rsid w:val="00B13E65"/>
    <w:rPr>
      <w:color w:val="0000FF" w:themeColor="hyperlink"/>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unhideWhenUsed/>
    <w:rsid w:val="00B13E6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F57A3D"/>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F57A3D"/>
    <w:rPr>
      <w:vertAlign w:val="superscript"/>
    </w:rPr>
  </w:style>
  <w:style w:type="paragraph" w:customStyle="1" w:styleId="Normalny1">
    <w:name w:val="Normalny1"/>
    <w:uiPriority w:val="99"/>
    <w:rsid w:val="00C73381"/>
    <w:pPr>
      <w:spacing w:after="0" w:line="240" w:lineRule="auto"/>
    </w:pPr>
    <w:rPr>
      <w:rFonts w:ascii="Times New Roman" w:eastAsia="ヒラギノ角ゴ Pro W3" w:hAnsi="Times New Roman" w:cs="Times New Roman"/>
      <w:color w:val="000000"/>
      <w:sz w:val="24"/>
      <w:szCs w:val="20"/>
    </w:rPr>
  </w:style>
  <w:style w:type="character" w:customStyle="1" w:styleId="AkapitzlistZnak">
    <w:name w:val="Akapit z listą Znak"/>
    <w:link w:val="Akapitzlist"/>
    <w:uiPriority w:val="34"/>
    <w:locked/>
    <w:rsid w:val="00CF7F14"/>
  </w:style>
  <w:style w:type="paragraph" w:styleId="Tekstkomentarza">
    <w:name w:val="annotation text"/>
    <w:basedOn w:val="Normalny"/>
    <w:link w:val="TekstkomentarzaZnak"/>
    <w:uiPriority w:val="99"/>
    <w:unhideWhenUsed/>
    <w:rsid w:val="00B13E65"/>
    <w:pPr>
      <w:spacing w:line="240" w:lineRule="auto"/>
    </w:pPr>
    <w:rPr>
      <w:sz w:val="20"/>
      <w:szCs w:val="20"/>
    </w:rPr>
  </w:style>
  <w:style w:type="character" w:customStyle="1" w:styleId="TekstkomentarzaZnak">
    <w:name w:val="Tekst komentarza Znak"/>
    <w:basedOn w:val="Domylnaczcionkaakapitu"/>
    <w:link w:val="Tekstkomentarza"/>
    <w:uiPriority w:val="99"/>
    <w:rsid w:val="0098703C"/>
    <w:rPr>
      <w:sz w:val="20"/>
      <w:szCs w:val="20"/>
    </w:rPr>
  </w:style>
  <w:style w:type="character" w:styleId="Odwoaniedokomentarza">
    <w:name w:val="annotation reference"/>
    <w:uiPriority w:val="99"/>
    <w:semiHidden/>
    <w:unhideWhenUsed/>
    <w:rsid w:val="0098703C"/>
    <w:rPr>
      <w:sz w:val="16"/>
      <w:szCs w:val="16"/>
    </w:rPr>
  </w:style>
  <w:style w:type="paragraph" w:styleId="Tematkomentarza">
    <w:name w:val="annotation subject"/>
    <w:basedOn w:val="Tekstkomentarza"/>
    <w:next w:val="Tekstkomentarza"/>
    <w:link w:val="TematkomentarzaZnak"/>
    <w:uiPriority w:val="99"/>
    <w:semiHidden/>
    <w:unhideWhenUsed/>
    <w:rsid w:val="00B13E65"/>
    <w:rPr>
      <w:b/>
      <w:bCs/>
    </w:rPr>
  </w:style>
  <w:style w:type="character" w:customStyle="1" w:styleId="TematkomentarzaZnak">
    <w:name w:val="Temat komentarza Znak"/>
    <w:basedOn w:val="TekstkomentarzaZnak"/>
    <w:link w:val="Tematkomentarza"/>
    <w:uiPriority w:val="99"/>
    <w:semiHidden/>
    <w:rsid w:val="002E11C4"/>
    <w:rPr>
      <w:b/>
      <w:bCs/>
      <w:sz w:val="20"/>
      <w:szCs w:val="20"/>
    </w:rPr>
  </w:style>
  <w:style w:type="paragraph" w:styleId="Poprawka">
    <w:name w:val="Revision"/>
    <w:hidden/>
    <w:uiPriority w:val="99"/>
    <w:semiHidden/>
    <w:rsid w:val="00B13E65"/>
    <w:pPr>
      <w:spacing w:after="0" w:line="240" w:lineRule="auto"/>
    </w:pPr>
  </w:style>
  <w:style w:type="paragraph" w:customStyle="1" w:styleId="Default">
    <w:name w:val="Default"/>
    <w:rsid w:val="00D97D20"/>
    <w:pPr>
      <w:autoSpaceDE w:val="0"/>
      <w:autoSpaceDN w:val="0"/>
      <w:adjustRightInd w:val="0"/>
      <w:spacing w:after="0" w:line="240" w:lineRule="auto"/>
    </w:pPr>
    <w:rPr>
      <w:rFonts w:ascii="Calibri" w:eastAsia="Calibri" w:hAnsi="Calibri" w:cs="Calibri"/>
      <w:color w:val="000000"/>
      <w:sz w:val="24"/>
      <w:szCs w:val="24"/>
    </w:rPr>
  </w:style>
  <w:style w:type="character" w:customStyle="1" w:styleId="h2">
    <w:name w:val="h2"/>
    <w:basedOn w:val="Domylnaczcionkaakapitu"/>
    <w:rsid w:val="00F80332"/>
  </w:style>
  <w:style w:type="paragraph" w:customStyle="1" w:styleId="ZnakZnak4">
    <w:name w:val="Znak Znak4"/>
    <w:basedOn w:val="Normalny"/>
    <w:rsid w:val="00484E97"/>
    <w:pPr>
      <w:spacing w:after="0" w:line="360" w:lineRule="auto"/>
      <w:jc w:val="both"/>
    </w:pPr>
    <w:rPr>
      <w:rFonts w:ascii="Verdana" w:eastAsia="Times New Roman" w:hAnsi="Verdana" w:cs="Times New Roman"/>
      <w:sz w:val="20"/>
      <w:szCs w:val="20"/>
    </w:rPr>
  </w:style>
  <w:style w:type="table" w:customStyle="1" w:styleId="Tabela-Siatka11">
    <w:name w:val="Tabela - Siatka11"/>
    <w:basedOn w:val="Standardowy"/>
    <w:uiPriority w:val="59"/>
    <w:rsid w:val="001A2839"/>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A2839"/>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A2839"/>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A2839"/>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1A2839"/>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F117B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5059282">
      <w:bodyDiv w:val="1"/>
      <w:marLeft w:val="0"/>
      <w:marRight w:val="0"/>
      <w:marTop w:val="0"/>
      <w:marBottom w:val="0"/>
      <w:divBdr>
        <w:top w:val="none" w:sz="0" w:space="0" w:color="auto"/>
        <w:left w:val="none" w:sz="0" w:space="0" w:color="auto"/>
        <w:bottom w:val="none" w:sz="0" w:space="0" w:color="auto"/>
        <w:right w:val="none" w:sz="0" w:space="0" w:color="auto"/>
      </w:divBdr>
    </w:div>
    <w:div w:id="99031071">
      <w:bodyDiv w:val="1"/>
      <w:marLeft w:val="0"/>
      <w:marRight w:val="0"/>
      <w:marTop w:val="0"/>
      <w:marBottom w:val="0"/>
      <w:divBdr>
        <w:top w:val="none" w:sz="0" w:space="0" w:color="auto"/>
        <w:left w:val="none" w:sz="0" w:space="0" w:color="auto"/>
        <w:bottom w:val="none" w:sz="0" w:space="0" w:color="auto"/>
        <w:right w:val="none" w:sz="0" w:space="0" w:color="auto"/>
      </w:divBdr>
      <w:divsChild>
        <w:div w:id="824784452">
          <w:marLeft w:val="0"/>
          <w:marRight w:val="0"/>
          <w:marTop w:val="0"/>
          <w:marBottom w:val="0"/>
          <w:divBdr>
            <w:top w:val="none" w:sz="0" w:space="0" w:color="auto"/>
            <w:left w:val="none" w:sz="0" w:space="0" w:color="auto"/>
            <w:bottom w:val="none" w:sz="0" w:space="0" w:color="auto"/>
            <w:right w:val="none" w:sz="0" w:space="0" w:color="auto"/>
          </w:divBdr>
        </w:div>
        <w:div w:id="1988237600">
          <w:marLeft w:val="0"/>
          <w:marRight w:val="0"/>
          <w:marTop w:val="0"/>
          <w:marBottom w:val="0"/>
          <w:divBdr>
            <w:top w:val="none" w:sz="0" w:space="0" w:color="auto"/>
            <w:left w:val="none" w:sz="0" w:space="0" w:color="auto"/>
            <w:bottom w:val="none" w:sz="0" w:space="0" w:color="auto"/>
            <w:right w:val="none" w:sz="0" w:space="0" w:color="auto"/>
          </w:divBdr>
        </w:div>
        <w:div w:id="1885286437">
          <w:marLeft w:val="0"/>
          <w:marRight w:val="0"/>
          <w:marTop w:val="0"/>
          <w:marBottom w:val="0"/>
          <w:divBdr>
            <w:top w:val="none" w:sz="0" w:space="0" w:color="auto"/>
            <w:left w:val="none" w:sz="0" w:space="0" w:color="auto"/>
            <w:bottom w:val="none" w:sz="0" w:space="0" w:color="auto"/>
            <w:right w:val="none" w:sz="0" w:space="0" w:color="auto"/>
          </w:divBdr>
        </w:div>
      </w:divsChild>
    </w:div>
    <w:div w:id="105926285">
      <w:bodyDiv w:val="1"/>
      <w:marLeft w:val="0"/>
      <w:marRight w:val="0"/>
      <w:marTop w:val="0"/>
      <w:marBottom w:val="0"/>
      <w:divBdr>
        <w:top w:val="none" w:sz="0" w:space="0" w:color="auto"/>
        <w:left w:val="none" w:sz="0" w:space="0" w:color="auto"/>
        <w:bottom w:val="none" w:sz="0" w:space="0" w:color="auto"/>
        <w:right w:val="none" w:sz="0" w:space="0" w:color="auto"/>
      </w:divBdr>
    </w:div>
    <w:div w:id="167407690">
      <w:bodyDiv w:val="1"/>
      <w:marLeft w:val="0"/>
      <w:marRight w:val="0"/>
      <w:marTop w:val="0"/>
      <w:marBottom w:val="0"/>
      <w:divBdr>
        <w:top w:val="none" w:sz="0" w:space="0" w:color="auto"/>
        <w:left w:val="none" w:sz="0" w:space="0" w:color="auto"/>
        <w:bottom w:val="none" w:sz="0" w:space="0" w:color="auto"/>
        <w:right w:val="none" w:sz="0" w:space="0" w:color="auto"/>
      </w:divBdr>
    </w:div>
    <w:div w:id="187372998">
      <w:bodyDiv w:val="1"/>
      <w:marLeft w:val="0"/>
      <w:marRight w:val="0"/>
      <w:marTop w:val="0"/>
      <w:marBottom w:val="0"/>
      <w:divBdr>
        <w:top w:val="none" w:sz="0" w:space="0" w:color="auto"/>
        <w:left w:val="none" w:sz="0" w:space="0" w:color="auto"/>
        <w:bottom w:val="none" w:sz="0" w:space="0" w:color="auto"/>
        <w:right w:val="none" w:sz="0" w:space="0" w:color="auto"/>
      </w:divBdr>
      <w:divsChild>
        <w:div w:id="921177967">
          <w:marLeft w:val="0"/>
          <w:marRight w:val="0"/>
          <w:marTop w:val="0"/>
          <w:marBottom w:val="0"/>
          <w:divBdr>
            <w:top w:val="none" w:sz="0" w:space="0" w:color="auto"/>
            <w:left w:val="none" w:sz="0" w:space="0" w:color="auto"/>
            <w:bottom w:val="none" w:sz="0" w:space="0" w:color="auto"/>
            <w:right w:val="none" w:sz="0" w:space="0" w:color="auto"/>
          </w:divBdr>
        </w:div>
        <w:div w:id="762529567">
          <w:marLeft w:val="0"/>
          <w:marRight w:val="0"/>
          <w:marTop w:val="0"/>
          <w:marBottom w:val="0"/>
          <w:divBdr>
            <w:top w:val="none" w:sz="0" w:space="0" w:color="auto"/>
            <w:left w:val="none" w:sz="0" w:space="0" w:color="auto"/>
            <w:bottom w:val="none" w:sz="0" w:space="0" w:color="auto"/>
            <w:right w:val="none" w:sz="0" w:space="0" w:color="auto"/>
          </w:divBdr>
        </w:div>
        <w:div w:id="2070415814">
          <w:marLeft w:val="0"/>
          <w:marRight w:val="0"/>
          <w:marTop w:val="0"/>
          <w:marBottom w:val="0"/>
          <w:divBdr>
            <w:top w:val="none" w:sz="0" w:space="0" w:color="auto"/>
            <w:left w:val="none" w:sz="0" w:space="0" w:color="auto"/>
            <w:bottom w:val="none" w:sz="0" w:space="0" w:color="auto"/>
            <w:right w:val="none" w:sz="0" w:space="0" w:color="auto"/>
          </w:divBdr>
        </w:div>
      </w:divsChild>
    </w:div>
    <w:div w:id="207841951">
      <w:bodyDiv w:val="1"/>
      <w:marLeft w:val="0"/>
      <w:marRight w:val="0"/>
      <w:marTop w:val="0"/>
      <w:marBottom w:val="0"/>
      <w:divBdr>
        <w:top w:val="none" w:sz="0" w:space="0" w:color="auto"/>
        <w:left w:val="none" w:sz="0" w:space="0" w:color="auto"/>
        <w:bottom w:val="none" w:sz="0" w:space="0" w:color="auto"/>
        <w:right w:val="none" w:sz="0" w:space="0" w:color="auto"/>
      </w:divBdr>
    </w:div>
    <w:div w:id="320818154">
      <w:bodyDiv w:val="1"/>
      <w:marLeft w:val="0"/>
      <w:marRight w:val="0"/>
      <w:marTop w:val="0"/>
      <w:marBottom w:val="0"/>
      <w:divBdr>
        <w:top w:val="none" w:sz="0" w:space="0" w:color="auto"/>
        <w:left w:val="none" w:sz="0" w:space="0" w:color="auto"/>
        <w:bottom w:val="none" w:sz="0" w:space="0" w:color="auto"/>
        <w:right w:val="none" w:sz="0" w:space="0" w:color="auto"/>
      </w:divBdr>
      <w:divsChild>
        <w:div w:id="774325544">
          <w:marLeft w:val="0"/>
          <w:marRight w:val="0"/>
          <w:marTop w:val="0"/>
          <w:marBottom w:val="0"/>
          <w:divBdr>
            <w:top w:val="none" w:sz="0" w:space="0" w:color="auto"/>
            <w:left w:val="none" w:sz="0" w:space="0" w:color="auto"/>
            <w:bottom w:val="none" w:sz="0" w:space="0" w:color="auto"/>
            <w:right w:val="none" w:sz="0" w:space="0" w:color="auto"/>
          </w:divBdr>
        </w:div>
        <w:div w:id="603003272">
          <w:marLeft w:val="0"/>
          <w:marRight w:val="0"/>
          <w:marTop w:val="0"/>
          <w:marBottom w:val="0"/>
          <w:divBdr>
            <w:top w:val="none" w:sz="0" w:space="0" w:color="auto"/>
            <w:left w:val="none" w:sz="0" w:space="0" w:color="auto"/>
            <w:bottom w:val="none" w:sz="0" w:space="0" w:color="auto"/>
            <w:right w:val="none" w:sz="0" w:space="0" w:color="auto"/>
          </w:divBdr>
        </w:div>
      </w:divsChild>
    </w:div>
    <w:div w:id="351805131">
      <w:bodyDiv w:val="1"/>
      <w:marLeft w:val="0"/>
      <w:marRight w:val="0"/>
      <w:marTop w:val="0"/>
      <w:marBottom w:val="0"/>
      <w:divBdr>
        <w:top w:val="none" w:sz="0" w:space="0" w:color="auto"/>
        <w:left w:val="none" w:sz="0" w:space="0" w:color="auto"/>
        <w:bottom w:val="none" w:sz="0" w:space="0" w:color="auto"/>
        <w:right w:val="none" w:sz="0" w:space="0" w:color="auto"/>
      </w:divBdr>
    </w:div>
    <w:div w:id="366837725">
      <w:bodyDiv w:val="1"/>
      <w:marLeft w:val="0"/>
      <w:marRight w:val="0"/>
      <w:marTop w:val="0"/>
      <w:marBottom w:val="0"/>
      <w:divBdr>
        <w:top w:val="none" w:sz="0" w:space="0" w:color="auto"/>
        <w:left w:val="none" w:sz="0" w:space="0" w:color="auto"/>
        <w:bottom w:val="none" w:sz="0" w:space="0" w:color="auto"/>
        <w:right w:val="none" w:sz="0" w:space="0" w:color="auto"/>
      </w:divBdr>
    </w:div>
    <w:div w:id="376977898">
      <w:bodyDiv w:val="1"/>
      <w:marLeft w:val="0"/>
      <w:marRight w:val="0"/>
      <w:marTop w:val="0"/>
      <w:marBottom w:val="0"/>
      <w:divBdr>
        <w:top w:val="none" w:sz="0" w:space="0" w:color="auto"/>
        <w:left w:val="none" w:sz="0" w:space="0" w:color="auto"/>
        <w:bottom w:val="none" w:sz="0" w:space="0" w:color="auto"/>
        <w:right w:val="none" w:sz="0" w:space="0" w:color="auto"/>
      </w:divBdr>
    </w:div>
    <w:div w:id="532613642">
      <w:bodyDiv w:val="1"/>
      <w:marLeft w:val="0"/>
      <w:marRight w:val="0"/>
      <w:marTop w:val="0"/>
      <w:marBottom w:val="0"/>
      <w:divBdr>
        <w:top w:val="none" w:sz="0" w:space="0" w:color="auto"/>
        <w:left w:val="none" w:sz="0" w:space="0" w:color="auto"/>
        <w:bottom w:val="none" w:sz="0" w:space="0" w:color="auto"/>
        <w:right w:val="none" w:sz="0" w:space="0" w:color="auto"/>
      </w:divBdr>
      <w:divsChild>
        <w:div w:id="1930573776">
          <w:marLeft w:val="0"/>
          <w:marRight w:val="0"/>
          <w:marTop w:val="0"/>
          <w:marBottom w:val="0"/>
          <w:divBdr>
            <w:top w:val="none" w:sz="0" w:space="0" w:color="auto"/>
            <w:left w:val="none" w:sz="0" w:space="0" w:color="auto"/>
            <w:bottom w:val="none" w:sz="0" w:space="0" w:color="auto"/>
            <w:right w:val="none" w:sz="0" w:space="0" w:color="auto"/>
          </w:divBdr>
        </w:div>
        <w:div w:id="862133399">
          <w:marLeft w:val="0"/>
          <w:marRight w:val="0"/>
          <w:marTop w:val="0"/>
          <w:marBottom w:val="0"/>
          <w:divBdr>
            <w:top w:val="none" w:sz="0" w:space="0" w:color="auto"/>
            <w:left w:val="none" w:sz="0" w:space="0" w:color="auto"/>
            <w:bottom w:val="none" w:sz="0" w:space="0" w:color="auto"/>
            <w:right w:val="none" w:sz="0" w:space="0" w:color="auto"/>
          </w:divBdr>
        </w:div>
        <w:div w:id="1448695560">
          <w:marLeft w:val="0"/>
          <w:marRight w:val="0"/>
          <w:marTop w:val="0"/>
          <w:marBottom w:val="0"/>
          <w:divBdr>
            <w:top w:val="none" w:sz="0" w:space="0" w:color="auto"/>
            <w:left w:val="none" w:sz="0" w:space="0" w:color="auto"/>
            <w:bottom w:val="none" w:sz="0" w:space="0" w:color="auto"/>
            <w:right w:val="none" w:sz="0" w:space="0" w:color="auto"/>
          </w:divBdr>
        </w:div>
        <w:div w:id="2036231927">
          <w:marLeft w:val="0"/>
          <w:marRight w:val="0"/>
          <w:marTop w:val="0"/>
          <w:marBottom w:val="0"/>
          <w:divBdr>
            <w:top w:val="none" w:sz="0" w:space="0" w:color="auto"/>
            <w:left w:val="none" w:sz="0" w:space="0" w:color="auto"/>
            <w:bottom w:val="none" w:sz="0" w:space="0" w:color="auto"/>
            <w:right w:val="none" w:sz="0" w:space="0" w:color="auto"/>
          </w:divBdr>
        </w:div>
        <w:div w:id="627125826">
          <w:marLeft w:val="0"/>
          <w:marRight w:val="0"/>
          <w:marTop w:val="0"/>
          <w:marBottom w:val="0"/>
          <w:divBdr>
            <w:top w:val="none" w:sz="0" w:space="0" w:color="auto"/>
            <w:left w:val="none" w:sz="0" w:space="0" w:color="auto"/>
            <w:bottom w:val="none" w:sz="0" w:space="0" w:color="auto"/>
            <w:right w:val="none" w:sz="0" w:space="0" w:color="auto"/>
          </w:divBdr>
        </w:div>
        <w:div w:id="1041319407">
          <w:marLeft w:val="0"/>
          <w:marRight w:val="0"/>
          <w:marTop w:val="0"/>
          <w:marBottom w:val="0"/>
          <w:divBdr>
            <w:top w:val="none" w:sz="0" w:space="0" w:color="auto"/>
            <w:left w:val="none" w:sz="0" w:space="0" w:color="auto"/>
            <w:bottom w:val="none" w:sz="0" w:space="0" w:color="auto"/>
            <w:right w:val="none" w:sz="0" w:space="0" w:color="auto"/>
          </w:divBdr>
        </w:div>
        <w:div w:id="59015044">
          <w:marLeft w:val="0"/>
          <w:marRight w:val="0"/>
          <w:marTop w:val="0"/>
          <w:marBottom w:val="0"/>
          <w:divBdr>
            <w:top w:val="none" w:sz="0" w:space="0" w:color="auto"/>
            <w:left w:val="none" w:sz="0" w:space="0" w:color="auto"/>
            <w:bottom w:val="none" w:sz="0" w:space="0" w:color="auto"/>
            <w:right w:val="none" w:sz="0" w:space="0" w:color="auto"/>
          </w:divBdr>
        </w:div>
        <w:div w:id="453255612">
          <w:marLeft w:val="0"/>
          <w:marRight w:val="0"/>
          <w:marTop w:val="0"/>
          <w:marBottom w:val="0"/>
          <w:divBdr>
            <w:top w:val="none" w:sz="0" w:space="0" w:color="auto"/>
            <w:left w:val="none" w:sz="0" w:space="0" w:color="auto"/>
            <w:bottom w:val="none" w:sz="0" w:space="0" w:color="auto"/>
            <w:right w:val="none" w:sz="0" w:space="0" w:color="auto"/>
          </w:divBdr>
        </w:div>
        <w:div w:id="1307272818">
          <w:marLeft w:val="0"/>
          <w:marRight w:val="0"/>
          <w:marTop w:val="0"/>
          <w:marBottom w:val="0"/>
          <w:divBdr>
            <w:top w:val="none" w:sz="0" w:space="0" w:color="auto"/>
            <w:left w:val="none" w:sz="0" w:space="0" w:color="auto"/>
            <w:bottom w:val="none" w:sz="0" w:space="0" w:color="auto"/>
            <w:right w:val="none" w:sz="0" w:space="0" w:color="auto"/>
          </w:divBdr>
        </w:div>
        <w:div w:id="1262570373">
          <w:marLeft w:val="0"/>
          <w:marRight w:val="0"/>
          <w:marTop w:val="0"/>
          <w:marBottom w:val="0"/>
          <w:divBdr>
            <w:top w:val="none" w:sz="0" w:space="0" w:color="auto"/>
            <w:left w:val="none" w:sz="0" w:space="0" w:color="auto"/>
            <w:bottom w:val="none" w:sz="0" w:space="0" w:color="auto"/>
            <w:right w:val="none" w:sz="0" w:space="0" w:color="auto"/>
          </w:divBdr>
        </w:div>
        <w:div w:id="1050764924">
          <w:marLeft w:val="0"/>
          <w:marRight w:val="0"/>
          <w:marTop w:val="0"/>
          <w:marBottom w:val="0"/>
          <w:divBdr>
            <w:top w:val="none" w:sz="0" w:space="0" w:color="auto"/>
            <w:left w:val="none" w:sz="0" w:space="0" w:color="auto"/>
            <w:bottom w:val="none" w:sz="0" w:space="0" w:color="auto"/>
            <w:right w:val="none" w:sz="0" w:space="0" w:color="auto"/>
          </w:divBdr>
        </w:div>
        <w:div w:id="1030187606">
          <w:marLeft w:val="0"/>
          <w:marRight w:val="0"/>
          <w:marTop w:val="0"/>
          <w:marBottom w:val="0"/>
          <w:divBdr>
            <w:top w:val="none" w:sz="0" w:space="0" w:color="auto"/>
            <w:left w:val="none" w:sz="0" w:space="0" w:color="auto"/>
            <w:bottom w:val="none" w:sz="0" w:space="0" w:color="auto"/>
            <w:right w:val="none" w:sz="0" w:space="0" w:color="auto"/>
          </w:divBdr>
        </w:div>
        <w:div w:id="163520595">
          <w:marLeft w:val="0"/>
          <w:marRight w:val="0"/>
          <w:marTop w:val="0"/>
          <w:marBottom w:val="0"/>
          <w:divBdr>
            <w:top w:val="none" w:sz="0" w:space="0" w:color="auto"/>
            <w:left w:val="none" w:sz="0" w:space="0" w:color="auto"/>
            <w:bottom w:val="none" w:sz="0" w:space="0" w:color="auto"/>
            <w:right w:val="none" w:sz="0" w:space="0" w:color="auto"/>
          </w:divBdr>
        </w:div>
        <w:div w:id="628047954">
          <w:marLeft w:val="0"/>
          <w:marRight w:val="0"/>
          <w:marTop w:val="0"/>
          <w:marBottom w:val="0"/>
          <w:divBdr>
            <w:top w:val="none" w:sz="0" w:space="0" w:color="auto"/>
            <w:left w:val="none" w:sz="0" w:space="0" w:color="auto"/>
            <w:bottom w:val="none" w:sz="0" w:space="0" w:color="auto"/>
            <w:right w:val="none" w:sz="0" w:space="0" w:color="auto"/>
          </w:divBdr>
        </w:div>
        <w:div w:id="924073562">
          <w:marLeft w:val="0"/>
          <w:marRight w:val="0"/>
          <w:marTop w:val="0"/>
          <w:marBottom w:val="0"/>
          <w:divBdr>
            <w:top w:val="none" w:sz="0" w:space="0" w:color="auto"/>
            <w:left w:val="none" w:sz="0" w:space="0" w:color="auto"/>
            <w:bottom w:val="none" w:sz="0" w:space="0" w:color="auto"/>
            <w:right w:val="none" w:sz="0" w:space="0" w:color="auto"/>
          </w:divBdr>
        </w:div>
        <w:div w:id="640308981">
          <w:marLeft w:val="0"/>
          <w:marRight w:val="0"/>
          <w:marTop w:val="0"/>
          <w:marBottom w:val="0"/>
          <w:divBdr>
            <w:top w:val="none" w:sz="0" w:space="0" w:color="auto"/>
            <w:left w:val="none" w:sz="0" w:space="0" w:color="auto"/>
            <w:bottom w:val="none" w:sz="0" w:space="0" w:color="auto"/>
            <w:right w:val="none" w:sz="0" w:space="0" w:color="auto"/>
          </w:divBdr>
        </w:div>
      </w:divsChild>
    </w:div>
    <w:div w:id="663975702">
      <w:bodyDiv w:val="1"/>
      <w:marLeft w:val="0"/>
      <w:marRight w:val="0"/>
      <w:marTop w:val="0"/>
      <w:marBottom w:val="0"/>
      <w:divBdr>
        <w:top w:val="none" w:sz="0" w:space="0" w:color="auto"/>
        <w:left w:val="none" w:sz="0" w:space="0" w:color="auto"/>
        <w:bottom w:val="none" w:sz="0" w:space="0" w:color="auto"/>
        <w:right w:val="none" w:sz="0" w:space="0" w:color="auto"/>
      </w:divBdr>
      <w:divsChild>
        <w:div w:id="1885678299">
          <w:marLeft w:val="0"/>
          <w:marRight w:val="0"/>
          <w:marTop w:val="0"/>
          <w:marBottom w:val="0"/>
          <w:divBdr>
            <w:top w:val="none" w:sz="0" w:space="0" w:color="auto"/>
            <w:left w:val="none" w:sz="0" w:space="0" w:color="auto"/>
            <w:bottom w:val="none" w:sz="0" w:space="0" w:color="auto"/>
            <w:right w:val="none" w:sz="0" w:space="0" w:color="auto"/>
          </w:divBdr>
        </w:div>
        <w:div w:id="700785344">
          <w:marLeft w:val="0"/>
          <w:marRight w:val="0"/>
          <w:marTop w:val="0"/>
          <w:marBottom w:val="0"/>
          <w:divBdr>
            <w:top w:val="none" w:sz="0" w:space="0" w:color="auto"/>
            <w:left w:val="none" w:sz="0" w:space="0" w:color="auto"/>
            <w:bottom w:val="none" w:sz="0" w:space="0" w:color="auto"/>
            <w:right w:val="none" w:sz="0" w:space="0" w:color="auto"/>
          </w:divBdr>
        </w:div>
        <w:div w:id="864444576">
          <w:marLeft w:val="0"/>
          <w:marRight w:val="0"/>
          <w:marTop w:val="0"/>
          <w:marBottom w:val="0"/>
          <w:divBdr>
            <w:top w:val="none" w:sz="0" w:space="0" w:color="auto"/>
            <w:left w:val="none" w:sz="0" w:space="0" w:color="auto"/>
            <w:bottom w:val="none" w:sz="0" w:space="0" w:color="auto"/>
            <w:right w:val="none" w:sz="0" w:space="0" w:color="auto"/>
          </w:divBdr>
        </w:div>
        <w:div w:id="1970477084">
          <w:marLeft w:val="0"/>
          <w:marRight w:val="0"/>
          <w:marTop w:val="0"/>
          <w:marBottom w:val="0"/>
          <w:divBdr>
            <w:top w:val="none" w:sz="0" w:space="0" w:color="auto"/>
            <w:left w:val="none" w:sz="0" w:space="0" w:color="auto"/>
            <w:bottom w:val="none" w:sz="0" w:space="0" w:color="auto"/>
            <w:right w:val="none" w:sz="0" w:space="0" w:color="auto"/>
          </w:divBdr>
        </w:div>
        <w:div w:id="1849640633">
          <w:marLeft w:val="0"/>
          <w:marRight w:val="0"/>
          <w:marTop w:val="0"/>
          <w:marBottom w:val="0"/>
          <w:divBdr>
            <w:top w:val="none" w:sz="0" w:space="0" w:color="auto"/>
            <w:left w:val="none" w:sz="0" w:space="0" w:color="auto"/>
            <w:bottom w:val="none" w:sz="0" w:space="0" w:color="auto"/>
            <w:right w:val="none" w:sz="0" w:space="0" w:color="auto"/>
          </w:divBdr>
        </w:div>
        <w:div w:id="997490458">
          <w:marLeft w:val="0"/>
          <w:marRight w:val="0"/>
          <w:marTop w:val="0"/>
          <w:marBottom w:val="0"/>
          <w:divBdr>
            <w:top w:val="none" w:sz="0" w:space="0" w:color="auto"/>
            <w:left w:val="none" w:sz="0" w:space="0" w:color="auto"/>
            <w:bottom w:val="none" w:sz="0" w:space="0" w:color="auto"/>
            <w:right w:val="none" w:sz="0" w:space="0" w:color="auto"/>
          </w:divBdr>
        </w:div>
        <w:div w:id="1204243945">
          <w:marLeft w:val="0"/>
          <w:marRight w:val="0"/>
          <w:marTop w:val="0"/>
          <w:marBottom w:val="0"/>
          <w:divBdr>
            <w:top w:val="none" w:sz="0" w:space="0" w:color="auto"/>
            <w:left w:val="none" w:sz="0" w:space="0" w:color="auto"/>
            <w:bottom w:val="none" w:sz="0" w:space="0" w:color="auto"/>
            <w:right w:val="none" w:sz="0" w:space="0" w:color="auto"/>
          </w:divBdr>
        </w:div>
        <w:div w:id="2027977293">
          <w:marLeft w:val="0"/>
          <w:marRight w:val="0"/>
          <w:marTop w:val="0"/>
          <w:marBottom w:val="0"/>
          <w:divBdr>
            <w:top w:val="none" w:sz="0" w:space="0" w:color="auto"/>
            <w:left w:val="none" w:sz="0" w:space="0" w:color="auto"/>
            <w:bottom w:val="none" w:sz="0" w:space="0" w:color="auto"/>
            <w:right w:val="none" w:sz="0" w:space="0" w:color="auto"/>
          </w:divBdr>
        </w:div>
        <w:div w:id="40522082">
          <w:marLeft w:val="0"/>
          <w:marRight w:val="0"/>
          <w:marTop w:val="0"/>
          <w:marBottom w:val="0"/>
          <w:divBdr>
            <w:top w:val="none" w:sz="0" w:space="0" w:color="auto"/>
            <w:left w:val="none" w:sz="0" w:space="0" w:color="auto"/>
            <w:bottom w:val="none" w:sz="0" w:space="0" w:color="auto"/>
            <w:right w:val="none" w:sz="0" w:space="0" w:color="auto"/>
          </w:divBdr>
        </w:div>
        <w:div w:id="1222593562">
          <w:marLeft w:val="0"/>
          <w:marRight w:val="0"/>
          <w:marTop w:val="0"/>
          <w:marBottom w:val="0"/>
          <w:divBdr>
            <w:top w:val="none" w:sz="0" w:space="0" w:color="auto"/>
            <w:left w:val="none" w:sz="0" w:space="0" w:color="auto"/>
            <w:bottom w:val="none" w:sz="0" w:space="0" w:color="auto"/>
            <w:right w:val="none" w:sz="0" w:space="0" w:color="auto"/>
          </w:divBdr>
        </w:div>
      </w:divsChild>
    </w:div>
    <w:div w:id="866214536">
      <w:bodyDiv w:val="1"/>
      <w:marLeft w:val="0"/>
      <w:marRight w:val="0"/>
      <w:marTop w:val="0"/>
      <w:marBottom w:val="0"/>
      <w:divBdr>
        <w:top w:val="none" w:sz="0" w:space="0" w:color="auto"/>
        <w:left w:val="none" w:sz="0" w:space="0" w:color="auto"/>
        <w:bottom w:val="none" w:sz="0" w:space="0" w:color="auto"/>
        <w:right w:val="none" w:sz="0" w:space="0" w:color="auto"/>
      </w:divBdr>
    </w:div>
    <w:div w:id="933711824">
      <w:bodyDiv w:val="1"/>
      <w:marLeft w:val="0"/>
      <w:marRight w:val="0"/>
      <w:marTop w:val="0"/>
      <w:marBottom w:val="0"/>
      <w:divBdr>
        <w:top w:val="none" w:sz="0" w:space="0" w:color="auto"/>
        <w:left w:val="none" w:sz="0" w:space="0" w:color="auto"/>
        <w:bottom w:val="none" w:sz="0" w:space="0" w:color="auto"/>
        <w:right w:val="none" w:sz="0" w:space="0" w:color="auto"/>
      </w:divBdr>
    </w:div>
    <w:div w:id="1017776049">
      <w:bodyDiv w:val="1"/>
      <w:marLeft w:val="0"/>
      <w:marRight w:val="0"/>
      <w:marTop w:val="0"/>
      <w:marBottom w:val="0"/>
      <w:divBdr>
        <w:top w:val="none" w:sz="0" w:space="0" w:color="auto"/>
        <w:left w:val="none" w:sz="0" w:space="0" w:color="auto"/>
        <w:bottom w:val="none" w:sz="0" w:space="0" w:color="auto"/>
        <w:right w:val="none" w:sz="0" w:space="0" w:color="auto"/>
      </w:divBdr>
    </w:div>
    <w:div w:id="1057437043">
      <w:bodyDiv w:val="1"/>
      <w:marLeft w:val="0"/>
      <w:marRight w:val="0"/>
      <w:marTop w:val="0"/>
      <w:marBottom w:val="0"/>
      <w:divBdr>
        <w:top w:val="none" w:sz="0" w:space="0" w:color="auto"/>
        <w:left w:val="none" w:sz="0" w:space="0" w:color="auto"/>
        <w:bottom w:val="none" w:sz="0" w:space="0" w:color="auto"/>
        <w:right w:val="none" w:sz="0" w:space="0" w:color="auto"/>
      </w:divBdr>
      <w:divsChild>
        <w:div w:id="1964343136">
          <w:marLeft w:val="0"/>
          <w:marRight w:val="0"/>
          <w:marTop w:val="0"/>
          <w:marBottom w:val="0"/>
          <w:divBdr>
            <w:top w:val="none" w:sz="0" w:space="0" w:color="auto"/>
            <w:left w:val="none" w:sz="0" w:space="0" w:color="auto"/>
            <w:bottom w:val="none" w:sz="0" w:space="0" w:color="auto"/>
            <w:right w:val="none" w:sz="0" w:space="0" w:color="auto"/>
          </w:divBdr>
        </w:div>
        <w:div w:id="1065838770">
          <w:marLeft w:val="0"/>
          <w:marRight w:val="0"/>
          <w:marTop w:val="0"/>
          <w:marBottom w:val="0"/>
          <w:divBdr>
            <w:top w:val="none" w:sz="0" w:space="0" w:color="auto"/>
            <w:left w:val="none" w:sz="0" w:space="0" w:color="auto"/>
            <w:bottom w:val="none" w:sz="0" w:space="0" w:color="auto"/>
            <w:right w:val="none" w:sz="0" w:space="0" w:color="auto"/>
          </w:divBdr>
        </w:div>
        <w:div w:id="600991313">
          <w:marLeft w:val="0"/>
          <w:marRight w:val="0"/>
          <w:marTop w:val="0"/>
          <w:marBottom w:val="0"/>
          <w:divBdr>
            <w:top w:val="none" w:sz="0" w:space="0" w:color="auto"/>
            <w:left w:val="none" w:sz="0" w:space="0" w:color="auto"/>
            <w:bottom w:val="none" w:sz="0" w:space="0" w:color="auto"/>
            <w:right w:val="none" w:sz="0" w:space="0" w:color="auto"/>
          </w:divBdr>
        </w:div>
        <w:div w:id="1464037945">
          <w:marLeft w:val="0"/>
          <w:marRight w:val="0"/>
          <w:marTop w:val="0"/>
          <w:marBottom w:val="0"/>
          <w:divBdr>
            <w:top w:val="none" w:sz="0" w:space="0" w:color="auto"/>
            <w:left w:val="none" w:sz="0" w:space="0" w:color="auto"/>
            <w:bottom w:val="none" w:sz="0" w:space="0" w:color="auto"/>
            <w:right w:val="none" w:sz="0" w:space="0" w:color="auto"/>
          </w:divBdr>
        </w:div>
        <w:div w:id="439884891">
          <w:marLeft w:val="0"/>
          <w:marRight w:val="0"/>
          <w:marTop w:val="0"/>
          <w:marBottom w:val="0"/>
          <w:divBdr>
            <w:top w:val="none" w:sz="0" w:space="0" w:color="auto"/>
            <w:left w:val="none" w:sz="0" w:space="0" w:color="auto"/>
            <w:bottom w:val="none" w:sz="0" w:space="0" w:color="auto"/>
            <w:right w:val="none" w:sz="0" w:space="0" w:color="auto"/>
          </w:divBdr>
        </w:div>
        <w:div w:id="1516454557">
          <w:marLeft w:val="0"/>
          <w:marRight w:val="0"/>
          <w:marTop w:val="0"/>
          <w:marBottom w:val="0"/>
          <w:divBdr>
            <w:top w:val="none" w:sz="0" w:space="0" w:color="auto"/>
            <w:left w:val="none" w:sz="0" w:space="0" w:color="auto"/>
            <w:bottom w:val="none" w:sz="0" w:space="0" w:color="auto"/>
            <w:right w:val="none" w:sz="0" w:space="0" w:color="auto"/>
          </w:divBdr>
        </w:div>
        <w:div w:id="437336804">
          <w:marLeft w:val="0"/>
          <w:marRight w:val="0"/>
          <w:marTop w:val="0"/>
          <w:marBottom w:val="0"/>
          <w:divBdr>
            <w:top w:val="none" w:sz="0" w:space="0" w:color="auto"/>
            <w:left w:val="none" w:sz="0" w:space="0" w:color="auto"/>
            <w:bottom w:val="none" w:sz="0" w:space="0" w:color="auto"/>
            <w:right w:val="none" w:sz="0" w:space="0" w:color="auto"/>
          </w:divBdr>
        </w:div>
        <w:div w:id="1353915669">
          <w:marLeft w:val="0"/>
          <w:marRight w:val="0"/>
          <w:marTop w:val="0"/>
          <w:marBottom w:val="0"/>
          <w:divBdr>
            <w:top w:val="none" w:sz="0" w:space="0" w:color="auto"/>
            <w:left w:val="none" w:sz="0" w:space="0" w:color="auto"/>
            <w:bottom w:val="none" w:sz="0" w:space="0" w:color="auto"/>
            <w:right w:val="none" w:sz="0" w:space="0" w:color="auto"/>
          </w:divBdr>
        </w:div>
      </w:divsChild>
    </w:div>
    <w:div w:id="1096561972">
      <w:bodyDiv w:val="1"/>
      <w:marLeft w:val="0"/>
      <w:marRight w:val="0"/>
      <w:marTop w:val="0"/>
      <w:marBottom w:val="0"/>
      <w:divBdr>
        <w:top w:val="none" w:sz="0" w:space="0" w:color="auto"/>
        <w:left w:val="none" w:sz="0" w:space="0" w:color="auto"/>
        <w:bottom w:val="none" w:sz="0" w:space="0" w:color="auto"/>
        <w:right w:val="none" w:sz="0" w:space="0" w:color="auto"/>
      </w:divBdr>
    </w:div>
    <w:div w:id="1209411186">
      <w:bodyDiv w:val="1"/>
      <w:marLeft w:val="0"/>
      <w:marRight w:val="0"/>
      <w:marTop w:val="0"/>
      <w:marBottom w:val="0"/>
      <w:divBdr>
        <w:top w:val="none" w:sz="0" w:space="0" w:color="auto"/>
        <w:left w:val="none" w:sz="0" w:space="0" w:color="auto"/>
        <w:bottom w:val="none" w:sz="0" w:space="0" w:color="auto"/>
        <w:right w:val="none" w:sz="0" w:space="0" w:color="auto"/>
      </w:divBdr>
    </w:div>
    <w:div w:id="1273593455">
      <w:bodyDiv w:val="1"/>
      <w:marLeft w:val="0"/>
      <w:marRight w:val="0"/>
      <w:marTop w:val="0"/>
      <w:marBottom w:val="0"/>
      <w:divBdr>
        <w:top w:val="none" w:sz="0" w:space="0" w:color="auto"/>
        <w:left w:val="none" w:sz="0" w:space="0" w:color="auto"/>
        <w:bottom w:val="none" w:sz="0" w:space="0" w:color="auto"/>
        <w:right w:val="none" w:sz="0" w:space="0" w:color="auto"/>
      </w:divBdr>
      <w:divsChild>
        <w:div w:id="1328823823">
          <w:marLeft w:val="0"/>
          <w:marRight w:val="0"/>
          <w:marTop w:val="0"/>
          <w:marBottom w:val="0"/>
          <w:divBdr>
            <w:top w:val="none" w:sz="0" w:space="0" w:color="auto"/>
            <w:left w:val="none" w:sz="0" w:space="0" w:color="auto"/>
            <w:bottom w:val="none" w:sz="0" w:space="0" w:color="auto"/>
            <w:right w:val="none" w:sz="0" w:space="0" w:color="auto"/>
          </w:divBdr>
        </w:div>
        <w:div w:id="1700160401">
          <w:marLeft w:val="0"/>
          <w:marRight w:val="0"/>
          <w:marTop w:val="0"/>
          <w:marBottom w:val="0"/>
          <w:divBdr>
            <w:top w:val="none" w:sz="0" w:space="0" w:color="auto"/>
            <w:left w:val="none" w:sz="0" w:space="0" w:color="auto"/>
            <w:bottom w:val="none" w:sz="0" w:space="0" w:color="auto"/>
            <w:right w:val="none" w:sz="0" w:space="0" w:color="auto"/>
          </w:divBdr>
        </w:div>
      </w:divsChild>
    </w:div>
    <w:div w:id="1303920534">
      <w:bodyDiv w:val="1"/>
      <w:marLeft w:val="0"/>
      <w:marRight w:val="0"/>
      <w:marTop w:val="0"/>
      <w:marBottom w:val="0"/>
      <w:divBdr>
        <w:top w:val="none" w:sz="0" w:space="0" w:color="auto"/>
        <w:left w:val="none" w:sz="0" w:space="0" w:color="auto"/>
        <w:bottom w:val="none" w:sz="0" w:space="0" w:color="auto"/>
        <w:right w:val="none" w:sz="0" w:space="0" w:color="auto"/>
      </w:divBdr>
    </w:div>
    <w:div w:id="1377118006">
      <w:bodyDiv w:val="1"/>
      <w:marLeft w:val="0"/>
      <w:marRight w:val="0"/>
      <w:marTop w:val="0"/>
      <w:marBottom w:val="0"/>
      <w:divBdr>
        <w:top w:val="none" w:sz="0" w:space="0" w:color="auto"/>
        <w:left w:val="none" w:sz="0" w:space="0" w:color="auto"/>
        <w:bottom w:val="none" w:sz="0" w:space="0" w:color="auto"/>
        <w:right w:val="none" w:sz="0" w:space="0" w:color="auto"/>
      </w:divBdr>
      <w:divsChild>
        <w:div w:id="1714302730">
          <w:marLeft w:val="0"/>
          <w:marRight w:val="0"/>
          <w:marTop w:val="0"/>
          <w:marBottom w:val="0"/>
          <w:divBdr>
            <w:top w:val="none" w:sz="0" w:space="0" w:color="auto"/>
            <w:left w:val="none" w:sz="0" w:space="0" w:color="auto"/>
            <w:bottom w:val="none" w:sz="0" w:space="0" w:color="auto"/>
            <w:right w:val="none" w:sz="0" w:space="0" w:color="auto"/>
          </w:divBdr>
        </w:div>
        <w:div w:id="463545416">
          <w:marLeft w:val="0"/>
          <w:marRight w:val="0"/>
          <w:marTop w:val="0"/>
          <w:marBottom w:val="0"/>
          <w:divBdr>
            <w:top w:val="none" w:sz="0" w:space="0" w:color="auto"/>
            <w:left w:val="none" w:sz="0" w:space="0" w:color="auto"/>
            <w:bottom w:val="none" w:sz="0" w:space="0" w:color="auto"/>
            <w:right w:val="none" w:sz="0" w:space="0" w:color="auto"/>
          </w:divBdr>
        </w:div>
        <w:div w:id="1795370510">
          <w:marLeft w:val="0"/>
          <w:marRight w:val="0"/>
          <w:marTop w:val="0"/>
          <w:marBottom w:val="0"/>
          <w:divBdr>
            <w:top w:val="none" w:sz="0" w:space="0" w:color="auto"/>
            <w:left w:val="none" w:sz="0" w:space="0" w:color="auto"/>
            <w:bottom w:val="none" w:sz="0" w:space="0" w:color="auto"/>
            <w:right w:val="none" w:sz="0" w:space="0" w:color="auto"/>
          </w:divBdr>
        </w:div>
        <w:div w:id="1995789401">
          <w:marLeft w:val="0"/>
          <w:marRight w:val="0"/>
          <w:marTop w:val="0"/>
          <w:marBottom w:val="0"/>
          <w:divBdr>
            <w:top w:val="none" w:sz="0" w:space="0" w:color="auto"/>
            <w:left w:val="none" w:sz="0" w:space="0" w:color="auto"/>
            <w:bottom w:val="none" w:sz="0" w:space="0" w:color="auto"/>
            <w:right w:val="none" w:sz="0" w:space="0" w:color="auto"/>
          </w:divBdr>
        </w:div>
        <w:div w:id="2138794146">
          <w:marLeft w:val="0"/>
          <w:marRight w:val="0"/>
          <w:marTop w:val="0"/>
          <w:marBottom w:val="0"/>
          <w:divBdr>
            <w:top w:val="none" w:sz="0" w:space="0" w:color="auto"/>
            <w:left w:val="none" w:sz="0" w:space="0" w:color="auto"/>
            <w:bottom w:val="none" w:sz="0" w:space="0" w:color="auto"/>
            <w:right w:val="none" w:sz="0" w:space="0" w:color="auto"/>
          </w:divBdr>
        </w:div>
        <w:div w:id="1166361584">
          <w:marLeft w:val="0"/>
          <w:marRight w:val="0"/>
          <w:marTop w:val="0"/>
          <w:marBottom w:val="0"/>
          <w:divBdr>
            <w:top w:val="none" w:sz="0" w:space="0" w:color="auto"/>
            <w:left w:val="none" w:sz="0" w:space="0" w:color="auto"/>
            <w:bottom w:val="none" w:sz="0" w:space="0" w:color="auto"/>
            <w:right w:val="none" w:sz="0" w:space="0" w:color="auto"/>
          </w:divBdr>
        </w:div>
        <w:div w:id="1737047712">
          <w:marLeft w:val="0"/>
          <w:marRight w:val="0"/>
          <w:marTop w:val="0"/>
          <w:marBottom w:val="0"/>
          <w:divBdr>
            <w:top w:val="none" w:sz="0" w:space="0" w:color="auto"/>
            <w:left w:val="none" w:sz="0" w:space="0" w:color="auto"/>
            <w:bottom w:val="none" w:sz="0" w:space="0" w:color="auto"/>
            <w:right w:val="none" w:sz="0" w:space="0" w:color="auto"/>
          </w:divBdr>
        </w:div>
        <w:div w:id="263541000">
          <w:marLeft w:val="0"/>
          <w:marRight w:val="0"/>
          <w:marTop w:val="0"/>
          <w:marBottom w:val="0"/>
          <w:divBdr>
            <w:top w:val="none" w:sz="0" w:space="0" w:color="auto"/>
            <w:left w:val="none" w:sz="0" w:space="0" w:color="auto"/>
            <w:bottom w:val="none" w:sz="0" w:space="0" w:color="auto"/>
            <w:right w:val="none" w:sz="0" w:space="0" w:color="auto"/>
          </w:divBdr>
        </w:div>
        <w:div w:id="1021467941">
          <w:marLeft w:val="0"/>
          <w:marRight w:val="0"/>
          <w:marTop w:val="0"/>
          <w:marBottom w:val="0"/>
          <w:divBdr>
            <w:top w:val="none" w:sz="0" w:space="0" w:color="auto"/>
            <w:left w:val="none" w:sz="0" w:space="0" w:color="auto"/>
            <w:bottom w:val="none" w:sz="0" w:space="0" w:color="auto"/>
            <w:right w:val="none" w:sz="0" w:space="0" w:color="auto"/>
          </w:divBdr>
        </w:div>
        <w:div w:id="1785347832">
          <w:marLeft w:val="0"/>
          <w:marRight w:val="0"/>
          <w:marTop w:val="0"/>
          <w:marBottom w:val="0"/>
          <w:divBdr>
            <w:top w:val="none" w:sz="0" w:space="0" w:color="auto"/>
            <w:left w:val="none" w:sz="0" w:space="0" w:color="auto"/>
            <w:bottom w:val="none" w:sz="0" w:space="0" w:color="auto"/>
            <w:right w:val="none" w:sz="0" w:space="0" w:color="auto"/>
          </w:divBdr>
        </w:div>
        <w:div w:id="973603705">
          <w:marLeft w:val="0"/>
          <w:marRight w:val="0"/>
          <w:marTop w:val="0"/>
          <w:marBottom w:val="0"/>
          <w:divBdr>
            <w:top w:val="none" w:sz="0" w:space="0" w:color="auto"/>
            <w:left w:val="none" w:sz="0" w:space="0" w:color="auto"/>
            <w:bottom w:val="none" w:sz="0" w:space="0" w:color="auto"/>
            <w:right w:val="none" w:sz="0" w:space="0" w:color="auto"/>
          </w:divBdr>
        </w:div>
        <w:div w:id="991375502">
          <w:marLeft w:val="0"/>
          <w:marRight w:val="0"/>
          <w:marTop w:val="0"/>
          <w:marBottom w:val="0"/>
          <w:divBdr>
            <w:top w:val="none" w:sz="0" w:space="0" w:color="auto"/>
            <w:left w:val="none" w:sz="0" w:space="0" w:color="auto"/>
            <w:bottom w:val="none" w:sz="0" w:space="0" w:color="auto"/>
            <w:right w:val="none" w:sz="0" w:space="0" w:color="auto"/>
          </w:divBdr>
        </w:div>
        <w:div w:id="1316104337">
          <w:marLeft w:val="0"/>
          <w:marRight w:val="0"/>
          <w:marTop w:val="0"/>
          <w:marBottom w:val="0"/>
          <w:divBdr>
            <w:top w:val="none" w:sz="0" w:space="0" w:color="auto"/>
            <w:left w:val="none" w:sz="0" w:space="0" w:color="auto"/>
            <w:bottom w:val="none" w:sz="0" w:space="0" w:color="auto"/>
            <w:right w:val="none" w:sz="0" w:space="0" w:color="auto"/>
          </w:divBdr>
        </w:div>
        <w:div w:id="1135871755">
          <w:marLeft w:val="0"/>
          <w:marRight w:val="0"/>
          <w:marTop w:val="0"/>
          <w:marBottom w:val="0"/>
          <w:divBdr>
            <w:top w:val="none" w:sz="0" w:space="0" w:color="auto"/>
            <w:left w:val="none" w:sz="0" w:space="0" w:color="auto"/>
            <w:bottom w:val="none" w:sz="0" w:space="0" w:color="auto"/>
            <w:right w:val="none" w:sz="0" w:space="0" w:color="auto"/>
          </w:divBdr>
        </w:div>
        <w:div w:id="1244803682">
          <w:marLeft w:val="0"/>
          <w:marRight w:val="0"/>
          <w:marTop w:val="0"/>
          <w:marBottom w:val="0"/>
          <w:divBdr>
            <w:top w:val="none" w:sz="0" w:space="0" w:color="auto"/>
            <w:left w:val="none" w:sz="0" w:space="0" w:color="auto"/>
            <w:bottom w:val="none" w:sz="0" w:space="0" w:color="auto"/>
            <w:right w:val="none" w:sz="0" w:space="0" w:color="auto"/>
          </w:divBdr>
        </w:div>
        <w:div w:id="1958683042">
          <w:marLeft w:val="0"/>
          <w:marRight w:val="0"/>
          <w:marTop w:val="0"/>
          <w:marBottom w:val="0"/>
          <w:divBdr>
            <w:top w:val="none" w:sz="0" w:space="0" w:color="auto"/>
            <w:left w:val="none" w:sz="0" w:space="0" w:color="auto"/>
            <w:bottom w:val="none" w:sz="0" w:space="0" w:color="auto"/>
            <w:right w:val="none" w:sz="0" w:space="0" w:color="auto"/>
          </w:divBdr>
        </w:div>
      </w:divsChild>
    </w:div>
    <w:div w:id="1412968613">
      <w:bodyDiv w:val="1"/>
      <w:marLeft w:val="0"/>
      <w:marRight w:val="0"/>
      <w:marTop w:val="0"/>
      <w:marBottom w:val="0"/>
      <w:divBdr>
        <w:top w:val="none" w:sz="0" w:space="0" w:color="auto"/>
        <w:left w:val="none" w:sz="0" w:space="0" w:color="auto"/>
        <w:bottom w:val="none" w:sz="0" w:space="0" w:color="auto"/>
        <w:right w:val="none" w:sz="0" w:space="0" w:color="auto"/>
      </w:divBdr>
    </w:div>
    <w:div w:id="1606885710">
      <w:bodyDiv w:val="1"/>
      <w:marLeft w:val="0"/>
      <w:marRight w:val="0"/>
      <w:marTop w:val="0"/>
      <w:marBottom w:val="0"/>
      <w:divBdr>
        <w:top w:val="none" w:sz="0" w:space="0" w:color="auto"/>
        <w:left w:val="none" w:sz="0" w:space="0" w:color="auto"/>
        <w:bottom w:val="none" w:sz="0" w:space="0" w:color="auto"/>
        <w:right w:val="none" w:sz="0" w:space="0" w:color="auto"/>
      </w:divBdr>
      <w:divsChild>
        <w:div w:id="1468814967">
          <w:marLeft w:val="0"/>
          <w:marRight w:val="0"/>
          <w:marTop w:val="0"/>
          <w:marBottom w:val="0"/>
          <w:divBdr>
            <w:top w:val="none" w:sz="0" w:space="0" w:color="auto"/>
            <w:left w:val="none" w:sz="0" w:space="0" w:color="auto"/>
            <w:bottom w:val="none" w:sz="0" w:space="0" w:color="auto"/>
            <w:right w:val="none" w:sz="0" w:space="0" w:color="auto"/>
          </w:divBdr>
        </w:div>
        <w:div w:id="996038414">
          <w:marLeft w:val="0"/>
          <w:marRight w:val="0"/>
          <w:marTop w:val="0"/>
          <w:marBottom w:val="0"/>
          <w:divBdr>
            <w:top w:val="none" w:sz="0" w:space="0" w:color="auto"/>
            <w:left w:val="none" w:sz="0" w:space="0" w:color="auto"/>
            <w:bottom w:val="none" w:sz="0" w:space="0" w:color="auto"/>
            <w:right w:val="none" w:sz="0" w:space="0" w:color="auto"/>
          </w:divBdr>
        </w:div>
        <w:div w:id="1527518487">
          <w:marLeft w:val="0"/>
          <w:marRight w:val="0"/>
          <w:marTop w:val="0"/>
          <w:marBottom w:val="0"/>
          <w:divBdr>
            <w:top w:val="none" w:sz="0" w:space="0" w:color="auto"/>
            <w:left w:val="none" w:sz="0" w:space="0" w:color="auto"/>
            <w:bottom w:val="none" w:sz="0" w:space="0" w:color="auto"/>
            <w:right w:val="none" w:sz="0" w:space="0" w:color="auto"/>
          </w:divBdr>
        </w:div>
        <w:div w:id="568002983">
          <w:marLeft w:val="0"/>
          <w:marRight w:val="0"/>
          <w:marTop w:val="0"/>
          <w:marBottom w:val="0"/>
          <w:divBdr>
            <w:top w:val="none" w:sz="0" w:space="0" w:color="auto"/>
            <w:left w:val="none" w:sz="0" w:space="0" w:color="auto"/>
            <w:bottom w:val="none" w:sz="0" w:space="0" w:color="auto"/>
            <w:right w:val="none" w:sz="0" w:space="0" w:color="auto"/>
          </w:divBdr>
        </w:div>
        <w:div w:id="1429932680">
          <w:marLeft w:val="0"/>
          <w:marRight w:val="0"/>
          <w:marTop w:val="0"/>
          <w:marBottom w:val="0"/>
          <w:divBdr>
            <w:top w:val="none" w:sz="0" w:space="0" w:color="auto"/>
            <w:left w:val="none" w:sz="0" w:space="0" w:color="auto"/>
            <w:bottom w:val="none" w:sz="0" w:space="0" w:color="auto"/>
            <w:right w:val="none" w:sz="0" w:space="0" w:color="auto"/>
          </w:divBdr>
        </w:div>
        <w:div w:id="457728128">
          <w:marLeft w:val="0"/>
          <w:marRight w:val="0"/>
          <w:marTop w:val="0"/>
          <w:marBottom w:val="0"/>
          <w:divBdr>
            <w:top w:val="none" w:sz="0" w:space="0" w:color="auto"/>
            <w:left w:val="none" w:sz="0" w:space="0" w:color="auto"/>
            <w:bottom w:val="none" w:sz="0" w:space="0" w:color="auto"/>
            <w:right w:val="none" w:sz="0" w:space="0" w:color="auto"/>
          </w:divBdr>
        </w:div>
        <w:div w:id="764157632">
          <w:marLeft w:val="0"/>
          <w:marRight w:val="0"/>
          <w:marTop w:val="0"/>
          <w:marBottom w:val="0"/>
          <w:divBdr>
            <w:top w:val="none" w:sz="0" w:space="0" w:color="auto"/>
            <w:left w:val="none" w:sz="0" w:space="0" w:color="auto"/>
            <w:bottom w:val="none" w:sz="0" w:space="0" w:color="auto"/>
            <w:right w:val="none" w:sz="0" w:space="0" w:color="auto"/>
          </w:divBdr>
        </w:div>
        <w:div w:id="1038050253">
          <w:marLeft w:val="0"/>
          <w:marRight w:val="0"/>
          <w:marTop w:val="0"/>
          <w:marBottom w:val="0"/>
          <w:divBdr>
            <w:top w:val="none" w:sz="0" w:space="0" w:color="auto"/>
            <w:left w:val="none" w:sz="0" w:space="0" w:color="auto"/>
            <w:bottom w:val="none" w:sz="0" w:space="0" w:color="auto"/>
            <w:right w:val="none" w:sz="0" w:space="0" w:color="auto"/>
          </w:divBdr>
        </w:div>
        <w:div w:id="1646276898">
          <w:marLeft w:val="0"/>
          <w:marRight w:val="0"/>
          <w:marTop w:val="0"/>
          <w:marBottom w:val="0"/>
          <w:divBdr>
            <w:top w:val="none" w:sz="0" w:space="0" w:color="auto"/>
            <w:left w:val="none" w:sz="0" w:space="0" w:color="auto"/>
            <w:bottom w:val="none" w:sz="0" w:space="0" w:color="auto"/>
            <w:right w:val="none" w:sz="0" w:space="0" w:color="auto"/>
          </w:divBdr>
        </w:div>
        <w:div w:id="1812482686">
          <w:marLeft w:val="0"/>
          <w:marRight w:val="0"/>
          <w:marTop w:val="0"/>
          <w:marBottom w:val="0"/>
          <w:divBdr>
            <w:top w:val="none" w:sz="0" w:space="0" w:color="auto"/>
            <w:left w:val="none" w:sz="0" w:space="0" w:color="auto"/>
            <w:bottom w:val="none" w:sz="0" w:space="0" w:color="auto"/>
            <w:right w:val="none" w:sz="0" w:space="0" w:color="auto"/>
          </w:divBdr>
        </w:div>
      </w:divsChild>
    </w:div>
    <w:div w:id="1799953652">
      <w:bodyDiv w:val="1"/>
      <w:marLeft w:val="0"/>
      <w:marRight w:val="0"/>
      <w:marTop w:val="0"/>
      <w:marBottom w:val="0"/>
      <w:divBdr>
        <w:top w:val="none" w:sz="0" w:space="0" w:color="auto"/>
        <w:left w:val="none" w:sz="0" w:space="0" w:color="auto"/>
        <w:bottom w:val="none" w:sz="0" w:space="0" w:color="auto"/>
        <w:right w:val="none" w:sz="0" w:space="0" w:color="auto"/>
      </w:divBdr>
    </w:div>
    <w:div w:id="1917593101">
      <w:bodyDiv w:val="1"/>
      <w:marLeft w:val="0"/>
      <w:marRight w:val="0"/>
      <w:marTop w:val="0"/>
      <w:marBottom w:val="0"/>
      <w:divBdr>
        <w:top w:val="none" w:sz="0" w:space="0" w:color="auto"/>
        <w:left w:val="none" w:sz="0" w:space="0" w:color="auto"/>
        <w:bottom w:val="none" w:sz="0" w:space="0" w:color="auto"/>
        <w:right w:val="none" w:sz="0" w:space="0" w:color="auto"/>
      </w:divBdr>
    </w:div>
    <w:div w:id="199741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FDC4867-07AF-4F33-87DF-12533965C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3047</Words>
  <Characters>18282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21287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dc:creator>
  <cp:lastModifiedBy>bjezierski</cp:lastModifiedBy>
  <cp:revision>16</cp:revision>
  <cp:lastPrinted>2016-06-28T12:47:00Z</cp:lastPrinted>
  <dcterms:created xsi:type="dcterms:W3CDTF">2015-11-19T11:30:00Z</dcterms:created>
  <dcterms:modified xsi:type="dcterms:W3CDTF">2016-08-05T14:55:00Z</dcterms:modified>
</cp:coreProperties>
</file>