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6D" w:rsidRPr="00BF27F5" w:rsidRDefault="003E2F6D" w:rsidP="003E2F6D">
      <w:pPr>
        <w:spacing w:before="240" w:after="240"/>
        <w:rPr>
          <w:b/>
          <w:sz w:val="48"/>
          <w:szCs w:val="24"/>
        </w:rPr>
      </w:pPr>
      <w:r w:rsidRPr="00BF27F5">
        <w:rPr>
          <w:b/>
          <w:sz w:val="48"/>
          <w:szCs w:val="24"/>
        </w:rPr>
        <w:t>DNA Miasta: Koszalin – Badanie CATI</w:t>
      </w:r>
    </w:p>
    <w:p w:rsidR="003E2F6D" w:rsidRDefault="003E2F6D" w:rsidP="003E2F6D">
      <w:pPr>
        <w:spacing w:before="240" w:after="240"/>
        <w:rPr>
          <w:b/>
          <w:sz w:val="40"/>
          <w:szCs w:val="24"/>
        </w:rPr>
      </w:pPr>
      <w:r>
        <w:rPr>
          <w:b/>
          <w:sz w:val="40"/>
          <w:szCs w:val="24"/>
        </w:rPr>
        <w:t>WPROWADZENIE</w:t>
      </w:r>
    </w:p>
    <w:p w:rsidR="007B3F8A" w:rsidRDefault="007B3F8A" w:rsidP="003E2F6D">
      <w:pPr>
        <w:spacing w:before="240" w:after="240"/>
        <w:rPr>
          <w:b/>
          <w:sz w:val="40"/>
          <w:szCs w:val="24"/>
        </w:rPr>
      </w:pPr>
    </w:p>
    <w:p w:rsidR="003E2F6D" w:rsidRDefault="003E2F6D" w:rsidP="007B3F8A">
      <w:pPr>
        <w:ind w:left="2124"/>
        <w:jc w:val="both"/>
        <w:rPr>
          <w:i/>
          <w:sz w:val="24"/>
          <w:szCs w:val="24"/>
        </w:rPr>
      </w:pPr>
      <w:r w:rsidRPr="007B3F8A">
        <w:rPr>
          <w:i/>
          <w:sz w:val="24"/>
          <w:szCs w:val="24"/>
        </w:rPr>
        <w:t xml:space="preserve">Badanie zrealizowane zostało w terminie </w:t>
      </w:r>
      <w:r w:rsidR="007B3F8A" w:rsidRPr="007B3F8A">
        <w:rPr>
          <w:i/>
          <w:sz w:val="24"/>
          <w:szCs w:val="24"/>
        </w:rPr>
        <w:t xml:space="preserve">10-21 </w:t>
      </w:r>
      <w:r w:rsidRPr="007B3F8A">
        <w:rPr>
          <w:b/>
          <w:i/>
          <w:sz w:val="24"/>
          <w:szCs w:val="24"/>
        </w:rPr>
        <w:t>w</w:t>
      </w:r>
      <w:r w:rsidRPr="007B3F8A">
        <w:rPr>
          <w:i/>
          <w:sz w:val="24"/>
          <w:szCs w:val="24"/>
        </w:rPr>
        <w:t>rześnia</w:t>
      </w:r>
      <w:r w:rsidRPr="007B3F8A">
        <w:rPr>
          <w:b/>
          <w:i/>
          <w:sz w:val="24"/>
          <w:szCs w:val="24"/>
        </w:rPr>
        <w:t xml:space="preserve"> </w:t>
      </w:r>
      <w:r w:rsidR="007B3F8A" w:rsidRPr="007B3F8A">
        <w:rPr>
          <w:b/>
          <w:i/>
          <w:sz w:val="24"/>
          <w:szCs w:val="24"/>
        </w:rPr>
        <w:t xml:space="preserve">2016 </w:t>
      </w:r>
      <w:r w:rsidRPr="007B3F8A">
        <w:rPr>
          <w:i/>
          <w:sz w:val="24"/>
          <w:szCs w:val="24"/>
        </w:rPr>
        <w:t>techniką wywiadu telefonicznego (</w:t>
      </w:r>
      <w:proofErr w:type="spellStart"/>
      <w:r w:rsidRPr="007B3F8A">
        <w:rPr>
          <w:i/>
          <w:sz w:val="24"/>
          <w:szCs w:val="24"/>
        </w:rPr>
        <w:t>Computer-Assisted</w:t>
      </w:r>
      <w:proofErr w:type="spellEnd"/>
      <w:r w:rsidRPr="007B3F8A">
        <w:rPr>
          <w:i/>
          <w:sz w:val="24"/>
          <w:szCs w:val="24"/>
        </w:rPr>
        <w:t xml:space="preserve"> </w:t>
      </w:r>
      <w:proofErr w:type="spellStart"/>
      <w:r w:rsidRPr="007B3F8A">
        <w:rPr>
          <w:i/>
          <w:sz w:val="24"/>
          <w:szCs w:val="24"/>
        </w:rPr>
        <w:t>Telephone</w:t>
      </w:r>
      <w:proofErr w:type="spellEnd"/>
      <w:r w:rsidRPr="007B3F8A">
        <w:rPr>
          <w:i/>
          <w:sz w:val="24"/>
          <w:szCs w:val="24"/>
        </w:rPr>
        <w:t xml:space="preserve"> Interview) na 600-osobowej reprezentatywnej ze względu na wiek, płeć oraz wykształcenie próbie mieszkańców miasta Koszalina. Wykonawcą badania była firma KF </w:t>
      </w:r>
      <w:proofErr w:type="spellStart"/>
      <w:r w:rsidRPr="007B3F8A">
        <w:rPr>
          <w:i/>
          <w:sz w:val="24"/>
          <w:szCs w:val="24"/>
        </w:rPr>
        <w:t>Research</w:t>
      </w:r>
      <w:proofErr w:type="spellEnd"/>
      <w:r w:rsidRPr="007B3F8A">
        <w:rPr>
          <w:i/>
          <w:sz w:val="24"/>
          <w:szCs w:val="24"/>
        </w:rPr>
        <w:t xml:space="preserve"> (</w:t>
      </w:r>
      <w:proofErr w:type="spellStart"/>
      <w:r w:rsidRPr="007B3F8A">
        <w:rPr>
          <w:i/>
          <w:sz w:val="24"/>
          <w:szCs w:val="24"/>
        </w:rPr>
        <w:t>Fortlfoty</w:t>
      </w:r>
      <w:proofErr w:type="spellEnd"/>
      <w:r w:rsidRPr="007B3F8A">
        <w:rPr>
          <w:i/>
          <w:sz w:val="24"/>
          <w:szCs w:val="24"/>
        </w:rPr>
        <w:t xml:space="preserve"> sp. z. </w:t>
      </w:r>
      <w:proofErr w:type="spellStart"/>
      <w:r w:rsidRPr="007B3F8A">
        <w:rPr>
          <w:i/>
          <w:sz w:val="24"/>
          <w:szCs w:val="24"/>
        </w:rPr>
        <w:t>o.o</w:t>
      </w:r>
      <w:proofErr w:type="spellEnd"/>
      <w:r w:rsidRPr="007B3F8A">
        <w:rPr>
          <w:i/>
          <w:sz w:val="24"/>
          <w:szCs w:val="24"/>
        </w:rPr>
        <w:t xml:space="preserve"> </w:t>
      </w:r>
      <w:proofErr w:type="spellStart"/>
      <w:r w:rsidRPr="007B3F8A">
        <w:rPr>
          <w:i/>
          <w:sz w:val="24"/>
          <w:szCs w:val="24"/>
        </w:rPr>
        <w:t>sp.k</w:t>
      </w:r>
      <w:proofErr w:type="spellEnd"/>
      <w:r w:rsidRPr="007B3F8A">
        <w:rPr>
          <w:i/>
          <w:sz w:val="24"/>
          <w:szCs w:val="24"/>
        </w:rPr>
        <w:t>).</w:t>
      </w:r>
    </w:p>
    <w:p w:rsidR="007B3F8A" w:rsidRPr="007B3F8A" w:rsidRDefault="007B3F8A" w:rsidP="007B3F8A">
      <w:pPr>
        <w:ind w:left="2124"/>
        <w:jc w:val="both"/>
        <w:rPr>
          <w:i/>
          <w:sz w:val="24"/>
          <w:szCs w:val="24"/>
        </w:rPr>
      </w:pPr>
    </w:p>
    <w:p w:rsidR="003E2F6D" w:rsidRDefault="003E2F6D" w:rsidP="003E2F6D">
      <w:pPr>
        <w:jc w:val="both"/>
        <w:rPr>
          <w:sz w:val="24"/>
          <w:szCs w:val="24"/>
        </w:rPr>
      </w:pPr>
      <w:r>
        <w:rPr>
          <w:sz w:val="24"/>
          <w:szCs w:val="24"/>
        </w:rPr>
        <w:t xml:space="preserve">Badanie ilościowe pozwala uzyskać ogólne, reprezentatywne dane przedstawiające rozkład opinii wśród badanych reprezentujących różne kategorie społeczne. Metoda CATI posiada jednak szereg ograniczeń, które należy brać pod uwagę podczas analizy uzyskanych wyników. Zebrane wyniki pozwalają przede wszystkim na uzyskanie odpowiedzi na pytania „ile”, a więc pomiar ilościowy, ale nie pozwalają na sformułowanie głębszych analiz m.in. dotyczących tego „jak” i „dlaczego” respondenci udzielili takich, a nie innych odpowiedzi. Również ze względu na ściśle określony czas ankiety (15 minut) oraz ograniczenia percepcyjne ankietowanych (rozmowa przez telefon; brak możliwości dostosowania pytań albo uzupełnienia np. o treści multimedialne) w telefonicznym badaniu ilościowym liczba pytań otwartych ograniczona jest do niezbędnego minimum, co w znacznym stopniu uniemożliwia uzyskanie pogłębionych wyników. Metodologię CATI charakteryzuje również niski poziom szczegółowości pytań. Z tego powodu przedstawione poniższej wyniki powinny być traktowane jako reprezentatywny </w:t>
      </w:r>
      <w:r>
        <w:rPr>
          <w:b/>
          <w:sz w:val="24"/>
          <w:szCs w:val="24"/>
        </w:rPr>
        <w:t xml:space="preserve">wycinek rzeczywistości społecznej, a nie kompletny obraz efektów polityki kulturalnej władz Koszalina, </w:t>
      </w:r>
      <w:r>
        <w:rPr>
          <w:sz w:val="24"/>
          <w:szCs w:val="24"/>
        </w:rPr>
        <w:t xml:space="preserve">a więc dane pozwalające na wskazanie możliwych kierunków dalszej analizy sektora kultury w Koszalinie, ale nie zapewniających wyczerpującej czy pogłębionej analizy zauważonych trendów, problemów i wyzwań. </w:t>
      </w:r>
    </w:p>
    <w:p w:rsidR="003E2F6D" w:rsidRDefault="003E2F6D" w:rsidP="003E2F6D">
      <w:pPr>
        <w:jc w:val="both"/>
        <w:rPr>
          <w:sz w:val="24"/>
          <w:szCs w:val="24"/>
        </w:rPr>
      </w:pPr>
      <w:r>
        <w:rPr>
          <w:sz w:val="24"/>
          <w:szCs w:val="24"/>
        </w:rPr>
        <w:t xml:space="preserve">Ze względu na reprezentatywność badania CATI zapewniają również porównywalność danych z innymi badaniami ilościowymi przeprowadzonymi zgodnie z wybraną metodologią. Z tego powodu przedstawiona poniżej analiza i interpretacja danych zebranych w Koszalinie została uzupełniona o porównania z wynikami badania CATI przeprowadzonego w terminie </w:t>
      </w:r>
      <w:r>
        <w:rPr>
          <w:sz w:val="24"/>
          <w:szCs w:val="24"/>
        </w:rPr>
        <w:lastRenderedPageBreak/>
        <w:t>1-10 czerwca 2015 roku wśród 500-osobowej reprezentatywnej grupie mieszkańców Olsztyna.</w:t>
      </w:r>
    </w:p>
    <w:p w:rsidR="003E2F6D" w:rsidRDefault="003E2F6D" w:rsidP="003E2F6D">
      <w:pPr>
        <w:jc w:val="both"/>
        <w:rPr>
          <w:sz w:val="24"/>
          <w:szCs w:val="24"/>
        </w:rPr>
      </w:pPr>
      <w:r>
        <w:rPr>
          <w:sz w:val="24"/>
          <w:szCs w:val="24"/>
        </w:rPr>
        <w:t>Wyniki badania CATI warto również porównać z wynikami badania jakościowego przeprowadzonego w obrębie wyselekcjonowanej kategorii społecznej – przedstawicieli środowiska kultury w Koszalinie, aktywnych działaczy, twórców i animatorów kultury – zaprezentowanego w raporcie „DNA Miasta: Koszalin”.</w:t>
      </w:r>
    </w:p>
    <w:p w:rsidR="003E2F6D" w:rsidRDefault="003E2F6D" w:rsidP="003E2F6D">
      <w:pPr>
        <w:jc w:val="both"/>
        <w:rPr>
          <w:sz w:val="24"/>
          <w:szCs w:val="24"/>
        </w:rPr>
      </w:pPr>
    </w:p>
    <w:p w:rsidR="003E2F6D" w:rsidRPr="00BF27F5" w:rsidRDefault="003E2F6D" w:rsidP="003E2F6D">
      <w:pPr>
        <w:spacing w:before="240" w:after="240"/>
        <w:rPr>
          <w:b/>
          <w:sz w:val="40"/>
          <w:szCs w:val="24"/>
        </w:rPr>
      </w:pPr>
      <w:r>
        <w:rPr>
          <w:b/>
          <w:sz w:val="40"/>
          <w:szCs w:val="24"/>
        </w:rPr>
        <w:t>CHARAKTERYSTYKA PRÓBY BADAWCZEJ</w:t>
      </w:r>
    </w:p>
    <w:p w:rsidR="003E2F6D" w:rsidRPr="00BF27F5" w:rsidRDefault="003E2F6D" w:rsidP="003E2F6D">
      <w:pPr>
        <w:jc w:val="both"/>
        <w:rPr>
          <w:sz w:val="24"/>
          <w:szCs w:val="24"/>
        </w:rPr>
      </w:pPr>
      <w:r>
        <w:rPr>
          <w:sz w:val="24"/>
          <w:szCs w:val="24"/>
        </w:rPr>
        <w:t xml:space="preserve">Spośród </w:t>
      </w:r>
      <w:r w:rsidRPr="00BF27F5">
        <w:rPr>
          <w:b/>
          <w:sz w:val="24"/>
          <w:szCs w:val="24"/>
        </w:rPr>
        <w:t>600 osób</w:t>
      </w:r>
      <w:r>
        <w:rPr>
          <w:sz w:val="24"/>
          <w:szCs w:val="24"/>
        </w:rPr>
        <w:t xml:space="preserve"> objętych badaniem </w:t>
      </w:r>
      <w:r>
        <w:rPr>
          <w:b/>
          <w:sz w:val="24"/>
          <w:szCs w:val="24"/>
        </w:rPr>
        <w:t xml:space="preserve">54% </w:t>
      </w:r>
      <w:r>
        <w:rPr>
          <w:sz w:val="24"/>
          <w:szCs w:val="24"/>
        </w:rPr>
        <w:t xml:space="preserve">stanowiły kobiety, a </w:t>
      </w:r>
      <w:r w:rsidRPr="004E5BEF">
        <w:rPr>
          <w:b/>
          <w:sz w:val="24"/>
          <w:szCs w:val="24"/>
        </w:rPr>
        <w:t>46%</w:t>
      </w:r>
      <w:r>
        <w:rPr>
          <w:sz w:val="24"/>
          <w:szCs w:val="24"/>
        </w:rPr>
        <w:t xml:space="preserve"> mężczyźni. Pod względem reprezentacji poziomu wykształcenia </w:t>
      </w:r>
      <w:r>
        <w:rPr>
          <w:b/>
          <w:sz w:val="24"/>
          <w:szCs w:val="24"/>
        </w:rPr>
        <w:t xml:space="preserve">39% </w:t>
      </w:r>
      <w:r>
        <w:rPr>
          <w:sz w:val="24"/>
          <w:szCs w:val="24"/>
        </w:rPr>
        <w:t xml:space="preserve">respondentów posiada wykształcenie zasadnicze zawodowe, </w:t>
      </w:r>
      <w:r>
        <w:rPr>
          <w:b/>
          <w:sz w:val="24"/>
          <w:szCs w:val="24"/>
        </w:rPr>
        <w:t xml:space="preserve">26% </w:t>
      </w:r>
      <w:r>
        <w:rPr>
          <w:sz w:val="24"/>
          <w:szCs w:val="24"/>
        </w:rPr>
        <w:t xml:space="preserve">gimnazjalne i niższe, </w:t>
      </w:r>
      <w:r>
        <w:rPr>
          <w:b/>
          <w:sz w:val="24"/>
          <w:szCs w:val="24"/>
        </w:rPr>
        <w:t xml:space="preserve">18% </w:t>
      </w:r>
      <w:r>
        <w:rPr>
          <w:sz w:val="24"/>
          <w:szCs w:val="24"/>
        </w:rPr>
        <w:t xml:space="preserve">wyższe, a </w:t>
      </w:r>
      <w:r>
        <w:rPr>
          <w:b/>
          <w:sz w:val="24"/>
          <w:szCs w:val="24"/>
        </w:rPr>
        <w:t xml:space="preserve">16% </w:t>
      </w:r>
      <w:r>
        <w:rPr>
          <w:sz w:val="24"/>
          <w:szCs w:val="24"/>
        </w:rPr>
        <w:t>średnie i policealne. Przeważającą większość ankietowanych stanowią osoby dorosłe w wieku produkcyjnym –</w:t>
      </w:r>
      <w:r w:rsidRPr="00BF27F5">
        <w:rPr>
          <w:b/>
          <w:sz w:val="24"/>
          <w:szCs w:val="24"/>
        </w:rPr>
        <w:t>60%</w:t>
      </w:r>
      <w:r>
        <w:rPr>
          <w:sz w:val="24"/>
          <w:szCs w:val="24"/>
        </w:rPr>
        <w:t xml:space="preserve"> w łącznej kategorii </w:t>
      </w:r>
      <w:r w:rsidRPr="00BF27F5">
        <w:rPr>
          <w:b/>
          <w:sz w:val="24"/>
          <w:szCs w:val="24"/>
        </w:rPr>
        <w:t>30-64</w:t>
      </w:r>
      <w:r>
        <w:rPr>
          <w:sz w:val="24"/>
          <w:szCs w:val="24"/>
        </w:rPr>
        <w:t xml:space="preserve">, osoby młodsze (15-29) stanowią </w:t>
      </w:r>
      <w:r>
        <w:rPr>
          <w:b/>
          <w:sz w:val="24"/>
          <w:szCs w:val="24"/>
        </w:rPr>
        <w:t xml:space="preserve">19% </w:t>
      </w:r>
      <w:r>
        <w:rPr>
          <w:sz w:val="24"/>
          <w:szCs w:val="24"/>
        </w:rPr>
        <w:t xml:space="preserve">badanych, a starsze (powyżej 65 roku życia) </w:t>
      </w:r>
      <w:r w:rsidRPr="00BF27F5">
        <w:rPr>
          <w:sz w:val="24"/>
          <w:szCs w:val="24"/>
        </w:rPr>
        <w:t xml:space="preserve">– </w:t>
      </w:r>
      <w:r w:rsidRPr="00BF27F5">
        <w:rPr>
          <w:b/>
          <w:sz w:val="24"/>
          <w:szCs w:val="24"/>
        </w:rPr>
        <w:t>21%</w:t>
      </w:r>
      <w:r w:rsidRPr="00BF27F5">
        <w:rPr>
          <w:sz w:val="24"/>
          <w:szCs w:val="24"/>
        </w:rPr>
        <w:t>.</w:t>
      </w:r>
    </w:p>
    <w:p w:rsidR="003E2F6D" w:rsidRDefault="003E2F6D" w:rsidP="003E2F6D">
      <w:pPr>
        <w:jc w:val="both"/>
        <w:rPr>
          <w:sz w:val="24"/>
          <w:szCs w:val="24"/>
        </w:rPr>
      </w:pPr>
      <w:r>
        <w:rPr>
          <w:sz w:val="24"/>
          <w:szCs w:val="24"/>
        </w:rPr>
        <w:t xml:space="preserve">Poniższe wykresy prezentują rozkład respondentów ze względu na wiek oraz wykształcenie. </w:t>
      </w:r>
    </w:p>
    <w:p w:rsidR="003E2F6D" w:rsidRPr="004E5BEF" w:rsidRDefault="003E2F6D" w:rsidP="003E2F6D">
      <w:pPr>
        <w:jc w:val="both"/>
        <w:rPr>
          <w:sz w:val="24"/>
          <w:szCs w:val="24"/>
        </w:rPr>
      </w:pPr>
      <w:r w:rsidRPr="004E5BEF">
        <w:rPr>
          <w:noProof/>
          <w:sz w:val="24"/>
          <w:szCs w:val="24"/>
          <w:lang w:eastAsia="pl-PL"/>
        </w:rPr>
        <w:drawing>
          <wp:inline distT="0" distB="0" distL="0" distR="0">
            <wp:extent cx="5766435" cy="3849551"/>
            <wp:effectExtent l="0" t="0" r="24765" b="1143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2F6D" w:rsidRDefault="003E2F6D" w:rsidP="007B3F8A">
      <w:pPr>
        <w:tabs>
          <w:tab w:val="left" w:pos="2835"/>
        </w:tabs>
        <w:spacing w:before="240" w:after="240"/>
        <w:rPr>
          <w:b/>
          <w:sz w:val="40"/>
          <w:szCs w:val="24"/>
        </w:rPr>
      </w:pPr>
      <w:r w:rsidRPr="004E5BEF">
        <w:rPr>
          <w:b/>
          <w:noProof/>
          <w:sz w:val="40"/>
          <w:szCs w:val="24"/>
          <w:lang w:eastAsia="pl-PL"/>
        </w:rPr>
        <w:lastRenderedPageBreak/>
        <w:drawing>
          <wp:inline distT="0" distB="0" distL="0" distR="0">
            <wp:extent cx="5766435" cy="3563257"/>
            <wp:effectExtent l="0" t="0" r="24765" b="1841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3F8A" w:rsidRDefault="007B3F8A">
      <w:pPr>
        <w:spacing w:after="160" w:line="259" w:lineRule="auto"/>
        <w:rPr>
          <w:b/>
          <w:sz w:val="40"/>
          <w:szCs w:val="24"/>
        </w:rPr>
      </w:pPr>
      <w:r>
        <w:rPr>
          <w:b/>
          <w:sz w:val="40"/>
          <w:szCs w:val="24"/>
        </w:rPr>
        <w:br w:type="page"/>
      </w:r>
    </w:p>
    <w:p w:rsidR="003E2F6D" w:rsidRDefault="003E2F6D" w:rsidP="003E2F6D">
      <w:pPr>
        <w:spacing w:before="240" w:after="240"/>
        <w:rPr>
          <w:b/>
          <w:sz w:val="40"/>
          <w:szCs w:val="24"/>
        </w:rPr>
      </w:pPr>
    </w:p>
    <w:p w:rsidR="003E2F6D" w:rsidRDefault="003E2F6D" w:rsidP="003E2F6D">
      <w:pPr>
        <w:spacing w:before="240" w:after="240"/>
        <w:rPr>
          <w:b/>
          <w:sz w:val="40"/>
          <w:szCs w:val="24"/>
        </w:rPr>
      </w:pPr>
      <w:r>
        <w:rPr>
          <w:b/>
          <w:sz w:val="40"/>
          <w:szCs w:val="24"/>
        </w:rPr>
        <w:t xml:space="preserve">NAJWAŻNIEJSZE WNIOSKI </w:t>
      </w:r>
    </w:p>
    <w:p w:rsidR="007B3F8A" w:rsidRPr="00717818" w:rsidRDefault="007B3F8A" w:rsidP="003E2F6D">
      <w:pPr>
        <w:spacing w:before="240" w:after="240"/>
        <w:rPr>
          <w:b/>
          <w:sz w:val="40"/>
          <w:szCs w:val="24"/>
        </w:rPr>
      </w:pP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 xml:space="preserve">Mieszkańcy w większości zgadzają się, że Koszalin „zdecydowanie tak” lub „raczej tak” jest miastem kultury. </w:t>
      </w:r>
      <w:r w:rsidRPr="002401CB">
        <w:rPr>
          <w:sz w:val="24"/>
        </w:rPr>
        <w:t xml:space="preserve">Opinia mieszkańców </w:t>
      </w:r>
      <w:r>
        <w:rPr>
          <w:sz w:val="24"/>
        </w:rPr>
        <w:t>generalnie pokrywa się z opiniami</w:t>
      </w:r>
      <w:r w:rsidRPr="002401CB">
        <w:rPr>
          <w:sz w:val="24"/>
        </w:rPr>
        <w:t xml:space="preserve"> liderów opinii i twórców kultury w mieście</w:t>
      </w:r>
      <w:r>
        <w:rPr>
          <w:sz w:val="24"/>
        </w:rPr>
        <w:t xml:space="preserve"> – respondentów badania „DNA Miasta: Koszalin”</w:t>
      </w:r>
      <w:r w:rsidRPr="002401CB">
        <w:rPr>
          <w:sz w:val="24"/>
        </w:rPr>
        <w:t>.</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Prawie połowa respondentów uznaje, że jest usatysfakcjonowana ofertą kulturalną dostępną w mieście. Najczęściej podawanym powodem dla pozytywnej oceny jest duża liczba imprez i wydarzeń (39%) oraz festiwali (10%).</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 xml:space="preserve">Jednocześnie najczęściej wskazywanym brakiem w ofercie kulturalnej </w:t>
      </w:r>
      <w:r>
        <w:rPr>
          <w:sz w:val="24"/>
          <w:szCs w:val="24"/>
        </w:rPr>
        <w:t>są</w:t>
      </w:r>
      <w:r w:rsidRPr="00F00F00">
        <w:rPr>
          <w:sz w:val="24"/>
          <w:szCs w:val="24"/>
        </w:rPr>
        <w:t xml:space="preserve"> koncerty i </w:t>
      </w:r>
      <w:r>
        <w:rPr>
          <w:sz w:val="24"/>
          <w:szCs w:val="24"/>
        </w:rPr>
        <w:t xml:space="preserve">większe </w:t>
      </w:r>
      <w:r w:rsidRPr="00F00F00">
        <w:rPr>
          <w:sz w:val="24"/>
          <w:szCs w:val="24"/>
        </w:rPr>
        <w:t>imprezy (łącznie 39%)</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 xml:space="preserve">Większość mieszkańców (58%) ocenia, że pod względem siły środowiska kulturalnego i poziomu instytucji kultury Koszalin plasuje się mniej więcej na poziomie „średniej krajowej”. Co ciekawe, zbliżona liczba respondentów uznaje, że miasto jest „powyżej przeciętej” (16%) </w:t>
      </w:r>
      <w:r>
        <w:rPr>
          <w:sz w:val="24"/>
          <w:szCs w:val="24"/>
        </w:rPr>
        <w:t>lub</w:t>
      </w:r>
      <w:r w:rsidRPr="00F00F00">
        <w:rPr>
          <w:sz w:val="24"/>
          <w:szCs w:val="24"/>
        </w:rPr>
        <w:t xml:space="preserve"> „poniżej przeciętnej” (14%).</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Najbardziej popularnym wydarzeniem kulturalnym jest Letni Festiwal „Kabareton”, który wskazało aż 36%</w:t>
      </w:r>
      <w:r>
        <w:rPr>
          <w:sz w:val="24"/>
          <w:szCs w:val="24"/>
        </w:rPr>
        <w:t xml:space="preserve"> respondentów</w:t>
      </w:r>
      <w:r w:rsidRPr="00F00F00">
        <w:rPr>
          <w:sz w:val="24"/>
          <w:szCs w:val="24"/>
        </w:rPr>
        <w:t>. Co istotne, dopiero kolejne pozycje – Festiwal Debiutów Filmowych „Młodzi i Film” (26%) i Europejski Festiwal Filmowy „Integracja Ty i Ja” (8%) – pokrywały się z opiniami przedstawicieli środowiska kultury analizowanymi w raporcie „DNA Miasta: Koszalin”.</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Aż 41% respondentów nie potrafiło wskazać albo nie uczestniczyło w żadnym wydarzeniu kulturalnym w ciągu ostatnich kilku miesięcy. 16%</w:t>
      </w:r>
      <w:r>
        <w:rPr>
          <w:sz w:val="24"/>
          <w:szCs w:val="24"/>
        </w:rPr>
        <w:t xml:space="preserve"> mieszkańców</w:t>
      </w:r>
      <w:r w:rsidRPr="00F00F00">
        <w:rPr>
          <w:sz w:val="24"/>
          <w:szCs w:val="24"/>
        </w:rPr>
        <w:t xml:space="preserve"> wskazało Letni Festiwal „Kabareton”.</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 xml:space="preserve">Przeważająca większość respondentów czerpie informacje o ofercie kulturalnej Koszalina z </w:t>
      </w:r>
      <w:proofErr w:type="spellStart"/>
      <w:r w:rsidRPr="00F00F00">
        <w:rPr>
          <w:sz w:val="24"/>
          <w:szCs w:val="24"/>
        </w:rPr>
        <w:t>internetu</w:t>
      </w:r>
      <w:proofErr w:type="spellEnd"/>
      <w:r w:rsidRPr="00F00F00">
        <w:rPr>
          <w:sz w:val="24"/>
          <w:szCs w:val="24"/>
        </w:rPr>
        <w:t xml:space="preserve"> (46%) i z portalu społecznościowego Facebook (28%). Pozostałe media (radio, prasa, telewizja) uzyskały podobny wynik (15-24%).</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Najczęściej odwiedzaną miejską instytucją kultury jest Muzeum w Koszalinie, które jest odwiedzane „r</w:t>
      </w:r>
      <w:r>
        <w:rPr>
          <w:sz w:val="24"/>
          <w:szCs w:val="24"/>
        </w:rPr>
        <w:t>az w roku” przez 33</w:t>
      </w:r>
      <w:r w:rsidRPr="00F00F00">
        <w:rPr>
          <w:sz w:val="24"/>
          <w:szCs w:val="24"/>
        </w:rPr>
        <w:t xml:space="preserve">% respondentów. Mieszkańcy najrzadziej (21%) korzystają z oferty Filharmonii Koszalińskiej im. Stanisława Moniuszki. </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 xml:space="preserve">Prawie połowa respondentów nigdy nie odwiedziła ani nie brała udziału w wydarzeniach organizowanych przez koszalińskie instytucje kultury. 66% respondentów nigdy nie </w:t>
      </w:r>
      <w:r>
        <w:rPr>
          <w:sz w:val="24"/>
          <w:szCs w:val="24"/>
        </w:rPr>
        <w:t xml:space="preserve">odwiedziło </w:t>
      </w:r>
      <w:r w:rsidRPr="00F00F00">
        <w:rPr>
          <w:sz w:val="24"/>
          <w:szCs w:val="24"/>
        </w:rPr>
        <w:t>Filharmonii</w:t>
      </w:r>
      <w:r>
        <w:rPr>
          <w:sz w:val="24"/>
          <w:szCs w:val="24"/>
        </w:rPr>
        <w:t xml:space="preserve"> Koszalińskiej</w:t>
      </w:r>
      <w:r w:rsidRPr="00F00F00">
        <w:rPr>
          <w:sz w:val="24"/>
          <w:szCs w:val="24"/>
        </w:rPr>
        <w:t xml:space="preserve">. Zaledwie 1% respondentów korzysta z oferty </w:t>
      </w:r>
      <w:r>
        <w:rPr>
          <w:sz w:val="24"/>
          <w:szCs w:val="24"/>
        </w:rPr>
        <w:t xml:space="preserve">miejskich </w:t>
      </w:r>
      <w:r w:rsidRPr="00F00F00">
        <w:rPr>
          <w:sz w:val="24"/>
          <w:szCs w:val="24"/>
        </w:rPr>
        <w:t>instytucji „kilka razy w miesiącu”.</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lastRenderedPageBreak/>
        <w:t>Jednocześnie najlepiej ocenianą instytucją kultury w skali 1-5 jest Filharmonia (średnia 4,3). W ocenie tej instytucji najwyraźniej uwidacznia się jednak dysproporcja pomiędzy oceną osób młodych (</w:t>
      </w:r>
      <w:r>
        <w:rPr>
          <w:sz w:val="24"/>
          <w:szCs w:val="24"/>
        </w:rPr>
        <w:t xml:space="preserve">średnia 3,8) </w:t>
      </w:r>
      <w:r w:rsidRPr="00F00F00">
        <w:rPr>
          <w:sz w:val="24"/>
          <w:szCs w:val="24"/>
        </w:rPr>
        <w:t>i starszych (</w:t>
      </w:r>
      <w:r>
        <w:rPr>
          <w:sz w:val="24"/>
          <w:szCs w:val="24"/>
        </w:rPr>
        <w:t>średnia 4,6</w:t>
      </w:r>
      <w:r w:rsidRPr="00F00F00">
        <w:rPr>
          <w:sz w:val="24"/>
          <w:szCs w:val="24"/>
        </w:rPr>
        <w:t>). Najgorzej oceniana jest oferta i atrakcyjność Muzeum w Koszalinie (średnia 3,8).</w:t>
      </w:r>
    </w:p>
    <w:p w:rsidR="003E2F6D" w:rsidRDefault="003E2F6D" w:rsidP="003E2F6D">
      <w:pPr>
        <w:pStyle w:val="Akapitzlist"/>
        <w:numPr>
          <w:ilvl w:val="0"/>
          <w:numId w:val="4"/>
        </w:numPr>
        <w:spacing w:after="240" w:line="240" w:lineRule="auto"/>
        <w:ind w:left="357" w:hanging="357"/>
        <w:contextualSpacing w:val="0"/>
        <w:jc w:val="both"/>
        <w:rPr>
          <w:sz w:val="24"/>
          <w:szCs w:val="24"/>
        </w:rPr>
      </w:pPr>
      <w:r w:rsidRPr="00F00F00">
        <w:rPr>
          <w:sz w:val="24"/>
          <w:szCs w:val="24"/>
        </w:rPr>
        <w:t>Dla respondentów najczęstszymi powodami, które sprawiają, że nie korzystają częściej niż obecnie z wydarzeń kulturalnych w</w:t>
      </w:r>
      <w:r>
        <w:rPr>
          <w:sz w:val="24"/>
          <w:szCs w:val="24"/>
        </w:rPr>
        <w:t xml:space="preserve"> mieście były „brak czasu” (56</w:t>
      </w:r>
      <w:r w:rsidRPr="00F00F00">
        <w:rPr>
          <w:sz w:val="24"/>
          <w:szCs w:val="24"/>
        </w:rPr>
        <w:t>% wskazań), koszt związany z uczestnictwem (23%)</w:t>
      </w:r>
      <w:r>
        <w:rPr>
          <w:sz w:val="24"/>
          <w:szCs w:val="24"/>
        </w:rPr>
        <w:t>, stan zdrowia bądź</w:t>
      </w:r>
      <w:r w:rsidRPr="00F00F00">
        <w:rPr>
          <w:sz w:val="24"/>
          <w:szCs w:val="24"/>
        </w:rPr>
        <w:t xml:space="preserve"> wiek (19%) oraz brak informacji o tym</w:t>
      </w:r>
      <w:r w:rsidR="000F0D1B">
        <w:rPr>
          <w:sz w:val="24"/>
          <w:szCs w:val="24"/>
        </w:rPr>
        <w:t>,</w:t>
      </w:r>
      <w:r w:rsidRPr="00F00F00">
        <w:rPr>
          <w:sz w:val="24"/>
          <w:szCs w:val="24"/>
        </w:rPr>
        <w:t xml:space="preserve"> co dzieje się w mieście (16%).</w:t>
      </w:r>
    </w:p>
    <w:p w:rsidR="003E2F6D" w:rsidRPr="00F00F00" w:rsidRDefault="003E2F6D" w:rsidP="003E2F6D">
      <w:pPr>
        <w:pStyle w:val="Akapitzlist"/>
        <w:numPr>
          <w:ilvl w:val="0"/>
          <w:numId w:val="4"/>
        </w:numPr>
        <w:spacing w:after="240" w:line="240" w:lineRule="auto"/>
        <w:ind w:left="357" w:hanging="357"/>
        <w:contextualSpacing w:val="0"/>
        <w:jc w:val="both"/>
        <w:rPr>
          <w:sz w:val="24"/>
          <w:szCs w:val="24"/>
        </w:rPr>
      </w:pPr>
      <w:r>
        <w:rPr>
          <w:sz w:val="24"/>
          <w:szCs w:val="24"/>
        </w:rPr>
        <w:t>Chociaż brak zainteresowania ofertą deklaruje jedynie 7% respondentów, to tej odpowiedzi najczęściej (18% wskazań) udzielali respondenci młodzi, w grupie wiekowej 15-29 lat.</w:t>
      </w:r>
    </w:p>
    <w:p w:rsidR="007B3F8A" w:rsidRDefault="007B3F8A">
      <w:pPr>
        <w:spacing w:after="160" w:line="259" w:lineRule="auto"/>
        <w:rPr>
          <w:b/>
          <w:sz w:val="24"/>
          <w:szCs w:val="24"/>
        </w:rPr>
      </w:pPr>
      <w:r>
        <w:rPr>
          <w:b/>
          <w:sz w:val="24"/>
          <w:szCs w:val="24"/>
        </w:rPr>
        <w:br w:type="page"/>
      </w:r>
    </w:p>
    <w:p w:rsidR="003E2F6D" w:rsidRDefault="003E2F6D" w:rsidP="003E2F6D">
      <w:pPr>
        <w:rPr>
          <w:b/>
          <w:sz w:val="24"/>
          <w:szCs w:val="24"/>
        </w:rPr>
      </w:pPr>
    </w:p>
    <w:p w:rsidR="003E2F6D" w:rsidRPr="00BF27F5" w:rsidRDefault="003E2F6D" w:rsidP="003E2F6D">
      <w:pPr>
        <w:rPr>
          <w:b/>
          <w:sz w:val="40"/>
          <w:szCs w:val="24"/>
        </w:rPr>
      </w:pPr>
      <w:r w:rsidRPr="00BF27F5">
        <w:rPr>
          <w:b/>
          <w:sz w:val="40"/>
          <w:szCs w:val="24"/>
        </w:rPr>
        <w:t>ANALIZA DANYCH ILOŚCIOWYCH</w:t>
      </w:r>
    </w:p>
    <w:p w:rsidR="007B3F8A" w:rsidRDefault="007B3F8A" w:rsidP="003E2F6D">
      <w:pPr>
        <w:rPr>
          <w:b/>
          <w:sz w:val="28"/>
        </w:rPr>
      </w:pPr>
    </w:p>
    <w:p w:rsidR="003E2F6D" w:rsidRPr="00441F77" w:rsidRDefault="003E2F6D" w:rsidP="003E2F6D">
      <w:pPr>
        <w:rPr>
          <w:b/>
          <w:sz w:val="32"/>
          <w:szCs w:val="24"/>
        </w:rPr>
      </w:pPr>
      <w:r>
        <w:rPr>
          <w:b/>
          <w:sz w:val="28"/>
        </w:rPr>
        <w:t>1. Ocena</w:t>
      </w:r>
      <w:r w:rsidRPr="00441F77">
        <w:rPr>
          <w:b/>
          <w:sz w:val="28"/>
        </w:rPr>
        <w:t xml:space="preserve"> stanu kultury</w:t>
      </w:r>
      <w:r>
        <w:rPr>
          <w:b/>
          <w:sz w:val="28"/>
        </w:rPr>
        <w:t xml:space="preserve"> i oferty kulturalnej</w:t>
      </w:r>
    </w:p>
    <w:p w:rsidR="007B3F8A" w:rsidRDefault="007B3F8A" w:rsidP="003E2F6D">
      <w:pPr>
        <w:rPr>
          <w:sz w:val="20"/>
          <w:szCs w:val="24"/>
        </w:rPr>
      </w:pPr>
    </w:p>
    <w:p w:rsidR="003E2F6D" w:rsidRPr="005A41BB" w:rsidRDefault="003E2F6D" w:rsidP="003E2F6D">
      <w:pPr>
        <w:rPr>
          <w:sz w:val="20"/>
          <w:szCs w:val="24"/>
        </w:rPr>
      </w:pPr>
      <w:r w:rsidRPr="005A41BB">
        <w:rPr>
          <w:sz w:val="20"/>
          <w:szCs w:val="24"/>
        </w:rPr>
        <w:t>Wykres 1. Czy Koszalin jest miastem kultury</w:t>
      </w:r>
    </w:p>
    <w:p w:rsidR="003E2F6D" w:rsidRDefault="003E2F6D" w:rsidP="003E2F6D">
      <w:pPr>
        <w:rPr>
          <w:sz w:val="24"/>
          <w:szCs w:val="24"/>
        </w:rPr>
      </w:pPr>
      <w:r w:rsidRPr="00F00F00">
        <w:rPr>
          <w:noProof/>
          <w:sz w:val="24"/>
          <w:szCs w:val="24"/>
          <w:lang w:eastAsia="pl-PL"/>
        </w:rPr>
        <w:drawing>
          <wp:inline distT="0" distB="0" distL="0" distR="0">
            <wp:extent cx="5629275" cy="3019425"/>
            <wp:effectExtent l="0" t="0" r="952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3F8A" w:rsidRDefault="007B3F8A" w:rsidP="003E2F6D">
      <w:pPr>
        <w:jc w:val="both"/>
        <w:rPr>
          <w:sz w:val="24"/>
          <w:szCs w:val="24"/>
        </w:rPr>
      </w:pPr>
    </w:p>
    <w:p w:rsidR="003E2F6D" w:rsidRDefault="003E2F6D" w:rsidP="003E2F6D">
      <w:pPr>
        <w:jc w:val="both"/>
        <w:rPr>
          <w:sz w:val="24"/>
          <w:szCs w:val="24"/>
        </w:rPr>
      </w:pPr>
      <w:r w:rsidRPr="00F00F00">
        <w:rPr>
          <w:sz w:val="24"/>
          <w:szCs w:val="24"/>
        </w:rPr>
        <w:t xml:space="preserve">Mieszkańcy w </w:t>
      </w:r>
      <w:r>
        <w:rPr>
          <w:sz w:val="24"/>
          <w:szCs w:val="24"/>
        </w:rPr>
        <w:t>przeważającej większości uznają, że Koszalin jest miastem kultury. Odpowiedź „zdecydowanie tak” i „raczej tak” wskazało łącznie 81% respondentów. Odpowiedzi negatywnej – „zdecydowanie nie” i „raczej nie” – udzieliło jedynie 13% respondentów.</w:t>
      </w:r>
    </w:p>
    <w:p w:rsidR="003E2F6D" w:rsidRDefault="003E2F6D" w:rsidP="003E2F6D">
      <w:pPr>
        <w:jc w:val="both"/>
        <w:rPr>
          <w:sz w:val="24"/>
        </w:rPr>
      </w:pPr>
      <w:r w:rsidRPr="00441F77">
        <w:rPr>
          <w:sz w:val="24"/>
        </w:rPr>
        <w:t>Szczegółowa analiza struktury udzielonych odpowiedzi z punktu widzenia płci</w:t>
      </w:r>
      <w:r>
        <w:rPr>
          <w:sz w:val="24"/>
        </w:rPr>
        <w:t xml:space="preserve"> pokazuje, że najbardziej pozytywnych odpowiedzi („zdecydowanie tak”) udzielały częściej kobiety – aż 41% w porównaniu z 25% wskazań mężczyzn. Z punktu widzenia różnicy wieku i wykształcenia uwidacznia się interesująca różnica: młodzi mieszkańcy aż w 64% udzielili odpowiedzi pozytywnej („raczej tak”), z kolei mieszkańcy najstarsi (65+) najczęściej wskazywali odpowiedź „zdecydowanie tak” – 48%. </w:t>
      </w:r>
    </w:p>
    <w:p w:rsidR="003E2F6D" w:rsidRDefault="003E2F6D" w:rsidP="003E2F6D">
      <w:pPr>
        <w:jc w:val="both"/>
        <w:rPr>
          <w:sz w:val="24"/>
        </w:rPr>
      </w:pPr>
    </w:p>
    <w:p w:rsidR="007B3F8A" w:rsidRDefault="007B3F8A" w:rsidP="003E2F6D">
      <w:pPr>
        <w:jc w:val="both"/>
        <w:rPr>
          <w:sz w:val="20"/>
          <w:szCs w:val="24"/>
        </w:rPr>
      </w:pPr>
    </w:p>
    <w:p w:rsidR="003E2F6D" w:rsidRPr="005A41BB" w:rsidRDefault="003E2F6D" w:rsidP="003E2F6D">
      <w:pPr>
        <w:jc w:val="both"/>
        <w:rPr>
          <w:sz w:val="20"/>
          <w:szCs w:val="24"/>
        </w:rPr>
      </w:pPr>
      <w:r w:rsidRPr="005A41BB">
        <w:rPr>
          <w:sz w:val="20"/>
          <w:szCs w:val="24"/>
        </w:rPr>
        <w:lastRenderedPageBreak/>
        <w:t>Wykres 2. Satysfakcja z oferty kulturalnej</w:t>
      </w:r>
    </w:p>
    <w:p w:rsidR="003E2F6D" w:rsidRPr="00F00F00" w:rsidRDefault="003E2F6D" w:rsidP="003E2F6D">
      <w:pPr>
        <w:rPr>
          <w:sz w:val="24"/>
          <w:szCs w:val="24"/>
        </w:rPr>
      </w:pPr>
      <w:r w:rsidRPr="00F00F00">
        <w:rPr>
          <w:noProof/>
          <w:sz w:val="24"/>
          <w:szCs w:val="24"/>
          <w:lang w:eastAsia="pl-PL"/>
        </w:rPr>
        <w:drawing>
          <wp:inline distT="0" distB="0" distL="0" distR="0">
            <wp:extent cx="6000750" cy="2990850"/>
            <wp:effectExtent l="0" t="0" r="0" b="0"/>
            <wp:docPr id="2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3F8A" w:rsidRDefault="007B3F8A" w:rsidP="003E2F6D">
      <w:pPr>
        <w:jc w:val="both"/>
        <w:rPr>
          <w:sz w:val="24"/>
          <w:szCs w:val="24"/>
        </w:rPr>
      </w:pPr>
    </w:p>
    <w:p w:rsidR="003E2F6D" w:rsidRDefault="003E2F6D" w:rsidP="003E2F6D">
      <w:pPr>
        <w:jc w:val="both"/>
        <w:rPr>
          <w:sz w:val="24"/>
          <w:szCs w:val="24"/>
        </w:rPr>
      </w:pPr>
      <w:r>
        <w:rPr>
          <w:sz w:val="24"/>
          <w:szCs w:val="24"/>
        </w:rPr>
        <w:t xml:space="preserve">Większość respondentów wyraża zadowolenie z obecnej oferty kulturalnej w mieście – łącznie 70% wskazań pozytywnych. Wyniki rozkładają się w miarę równomiernie przy uwzględnieniu struktury płci; kobiety są </w:t>
      </w:r>
      <w:r w:rsidR="00B128F3">
        <w:rPr>
          <w:sz w:val="24"/>
          <w:szCs w:val="24"/>
        </w:rPr>
        <w:t xml:space="preserve">bardziej </w:t>
      </w:r>
      <w:proofErr w:type="spellStart"/>
      <w:r>
        <w:rPr>
          <w:sz w:val="24"/>
          <w:szCs w:val="24"/>
        </w:rPr>
        <w:t>skłonnedo</w:t>
      </w:r>
      <w:proofErr w:type="spellEnd"/>
      <w:r>
        <w:rPr>
          <w:sz w:val="24"/>
          <w:szCs w:val="24"/>
        </w:rPr>
        <w:t xml:space="preserve"> oceny najwyżej („zdecydowanie tak – 31%), a mężczyźni – do najniższej („raczej nie” – 15%). Ocenę pozytywną najliczniej wskazywali respondenci z wykształceniem zasadniczym zawodowym i średnim/licealnym (ponad 50% wskazań).</w:t>
      </w:r>
    </w:p>
    <w:p w:rsidR="003E2F6D" w:rsidRDefault="003E2F6D" w:rsidP="003E2F6D">
      <w:pPr>
        <w:jc w:val="both"/>
        <w:rPr>
          <w:sz w:val="24"/>
          <w:szCs w:val="24"/>
        </w:rPr>
      </w:pPr>
      <w:r w:rsidRPr="00717818">
        <w:rPr>
          <w:sz w:val="24"/>
          <w:szCs w:val="24"/>
        </w:rPr>
        <w:t>Na prośbę o podanie powodu wskazania odpowiedzi pozytywnej</w:t>
      </w:r>
      <w:r w:rsidR="00B128F3">
        <w:rPr>
          <w:sz w:val="24"/>
          <w:szCs w:val="24"/>
        </w:rPr>
        <w:t>,</w:t>
      </w:r>
      <w:r w:rsidRPr="00717818">
        <w:rPr>
          <w:sz w:val="24"/>
          <w:szCs w:val="24"/>
        </w:rPr>
        <w:t xml:space="preserve"> 49% </w:t>
      </w:r>
      <w:r w:rsidR="00B128F3">
        <w:rPr>
          <w:sz w:val="24"/>
          <w:szCs w:val="24"/>
        </w:rPr>
        <w:t xml:space="preserve">respondentów </w:t>
      </w:r>
      <w:r w:rsidRPr="00717818">
        <w:rPr>
          <w:sz w:val="24"/>
          <w:szCs w:val="24"/>
        </w:rPr>
        <w:t xml:space="preserve">wskazywało dużą liczbę wydarzeń i imprez kulturalnych (w szczególności osoby młode), w tym popularnych festiwali. W tym wypadku szczegółowa analiza struktury udzielonych odpowiedzi z punktu widzenia płci, wieku i wykształcenia pokazuje, że mieszkańcy pozytywnie oceniający ofertę kulturalną </w:t>
      </w:r>
      <w:r>
        <w:rPr>
          <w:sz w:val="24"/>
          <w:szCs w:val="24"/>
        </w:rPr>
        <w:t>są stosunkowo zgodni w określaniu najmocniejszych stron koszalińskiej kultury.</w:t>
      </w:r>
    </w:p>
    <w:p w:rsidR="003E2F6D" w:rsidRPr="00BF27F5" w:rsidRDefault="003E2F6D" w:rsidP="003E2F6D">
      <w:pPr>
        <w:jc w:val="both"/>
        <w:rPr>
          <w:sz w:val="24"/>
          <w:szCs w:val="24"/>
        </w:rPr>
      </w:pPr>
      <w:r w:rsidRPr="00BF27F5">
        <w:rPr>
          <w:sz w:val="24"/>
          <w:szCs w:val="24"/>
        </w:rPr>
        <w:t xml:space="preserve">W badaniu </w:t>
      </w:r>
      <w:r>
        <w:rPr>
          <w:sz w:val="24"/>
          <w:szCs w:val="24"/>
        </w:rPr>
        <w:t>zapytaliśmy również mieszkańców Koszalina o to, czego brakuje im w ofercie kulturalnej miasta. 39% respondentów odpowiedziało, że w mieście obywa się za mało imprez i koncertów – co ciekawe, o większą liczbę koncertów muzycznych dopominało się aż 62% mieszkańców w przedziale wiekowym 15-29 lat. Dla 8% badanych w mieście odbywa się za mało wydarzeń na wyższym poziomie artystycznym; identyczna liczba respondentów chciałaby również mieć możliwość częstszego uczestnictwa w spektaklach teatralnych.</w:t>
      </w:r>
    </w:p>
    <w:p w:rsidR="003E2F6D" w:rsidRDefault="003E2F6D" w:rsidP="003E2F6D">
      <w:pPr>
        <w:rPr>
          <w:sz w:val="24"/>
          <w:szCs w:val="24"/>
        </w:rPr>
      </w:pPr>
      <w:r w:rsidRPr="005A41BB">
        <w:rPr>
          <w:sz w:val="20"/>
          <w:szCs w:val="24"/>
        </w:rPr>
        <w:lastRenderedPageBreak/>
        <w:t>Wykres 3. Ocena miasta na tle kraju</w:t>
      </w:r>
      <w:r w:rsidRPr="00F00F00">
        <w:rPr>
          <w:noProof/>
          <w:sz w:val="24"/>
          <w:szCs w:val="24"/>
          <w:lang w:eastAsia="pl-PL"/>
        </w:rPr>
        <w:drawing>
          <wp:inline distT="0" distB="0" distL="0" distR="0">
            <wp:extent cx="5734050" cy="3433717"/>
            <wp:effectExtent l="0" t="0" r="6350" b="2095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3F8A" w:rsidRDefault="007B3F8A" w:rsidP="003E2F6D">
      <w:pPr>
        <w:jc w:val="both"/>
        <w:rPr>
          <w:sz w:val="24"/>
          <w:szCs w:val="24"/>
        </w:rPr>
      </w:pPr>
    </w:p>
    <w:p w:rsidR="003E2F6D" w:rsidRDefault="003E2F6D" w:rsidP="003E2F6D">
      <w:pPr>
        <w:jc w:val="both"/>
        <w:rPr>
          <w:sz w:val="24"/>
          <w:szCs w:val="24"/>
        </w:rPr>
      </w:pPr>
      <w:r>
        <w:rPr>
          <w:sz w:val="24"/>
          <w:szCs w:val="24"/>
        </w:rPr>
        <w:t>Według oceny mieszkańców Koszalin plasuje się na poziomie „średniej krajowej” pod względem siły środowiska kulturalnego i poziomu instytucji kultury. Takiej odpowiedzi udzielali najczęściej respondenci w grupie wiekowej 15-29 lat (73%) i osoby o wykształceniu zasadniczym zawodowym (66%). Warto zwrócić uwagę, że ocena „poniżej przeciętnej” była najpopularniejsza w grupie najlepiej wykształconych mieszkańców: średnie i policealne (23%) oraz wyższe (25%), co pokazuje, że te grupy mieszkańców mają największe oczekiwania wobec poprawy (zwiększenia siły i poziomu oferty) stanu kultury w mieście.</w:t>
      </w:r>
    </w:p>
    <w:p w:rsidR="003E2F6D" w:rsidRPr="00717818" w:rsidRDefault="003E2F6D" w:rsidP="003E2F6D">
      <w:pPr>
        <w:jc w:val="both"/>
        <w:rPr>
          <w:sz w:val="24"/>
          <w:szCs w:val="24"/>
        </w:rPr>
      </w:pPr>
      <w:r>
        <w:rPr>
          <w:sz w:val="24"/>
          <w:szCs w:val="24"/>
        </w:rPr>
        <w:t xml:space="preserve">Co interesujące, zbliżony wynik na poziomie 61% uzyskał Olsztyn – miasto wojewódzkie, które według </w:t>
      </w:r>
      <w:r w:rsidRPr="009B7291">
        <w:rPr>
          <w:sz w:val="24"/>
          <w:szCs w:val="24"/>
        </w:rPr>
        <w:t>większości respondentów również prezentuje mniej więcej poziom „średniej krajowej”. Z kolei aż 27% respondentów myśli o Olsztynie jako miejscu poniżej tej średniej, co pozwala spojrzeć na znacznie bardziej pozytywny wynik Koszalina ze sporą satysfakcją.</w:t>
      </w:r>
      <w:r w:rsidRPr="00F00F00">
        <w:rPr>
          <w:sz w:val="24"/>
          <w:szCs w:val="24"/>
        </w:rPr>
        <w:br w:type="page"/>
      </w:r>
    </w:p>
    <w:p w:rsidR="003E2F6D" w:rsidRPr="005A41BB" w:rsidRDefault="003E2F6D" w:rsidP="003E2F6D">
      <w:pPr>
        <w:rPr>
          <w:sz w:val="20"/>
          <w:szCs w:val="24"/>
        </w:rPr>
      </w:pPr>
      <w:r w:rsidRPr="005A41BB">
        <w:rPr>
          <w:sz w:val="20"/>
          <w:szCs w:val="24"/>
        </w:rPr>
        <w:lastRenderedPageBreak/>
        <w:t>Wykres 4. Kulturalna wizytówka miasta</w:t>
      </w:r>
    </w:p>
    <w:p w:rsidR="003E2F6D" w:rsidRPr="00F00F00" w:rsidRDefault="003E2F6D" w:rsidP="003E2F6D">
      <w:pPr>
        <w:rPr>
          <w:b/>
          <w:sz w:val="24"/>
          <w:szCs w:val="24"/>
        </w:rPr>
      </w:pPr>
      <w:r w:rsidRPr="00F00F00">
        <w:rPr>
          <w:b/>
          <w:noProof/>
          <w:sz w:val="24"/>
          <w:szCs w:val="24"/>
          <w:lang w:eastAsia="pl-PL"/>
        </w:rPr>
        <w:drawing>
          <wp:inline distT="0" distB="0" distL="0" distR="0">
            <wp:extent cx="5760720" cy="4226197"/>
            <wp:effectExtent l="0" t="0" r="5080" b="15875"/>
            <wp:docPr id="25"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3F8A" w:rsidRDefault="007B3F8A" w:rsidP="003E2F6D">
      <w:pPr>
        <w:jc w:val="both"/>
        <w:rPr>
          <w:sz w:val="24"/>
          <w:szCs w:val="24"/>
        </w:rPr>
      </w:pPr>
    </w:p>
    <w:p w:rsidR="003E2F6D" w:rsidRDefault="003E2F6D" w:rsidP="003E2F6D">
      <w:pPr>
        <w:jc w:val="both"/>
        <w:rPr>
          <w:sz w:val="24"/>
          <w:szCs w:val="24"/>
        </w:rPr>
      </w:pPr>
      <w:r>
        <w:rPr>
          <w:sz w:val="24"/>
          <w:szCs w:val="24"/>
        </w:rPr>
        <w:t>Wykres 4</w:t>
      </w:r>
      <w:r w:rsidR="00B128F3">
        <w:rPr>
          <w:sz w:val="24"/>
          <w:szCs w:val="24"/>
        </w:rPr>
        <w:t>.</w:t>
      </w:r>
      <w:r>
        <w:rPr>
          <w:sz w:val="24"/>
          <w:szCs w:val="24"/>
        </w:rPr>
        <w:t xml:space="preserve"> przedstawia najczęściej wskazywane wydarzenia, które mieszkańcy Koszalina uznają za wizytówkę miasta. Największą popularnością na poziomie 36% cieszy się Letni Festiwal „Kabareton” – co istotne, głosy na Kabareton rozkładają się równomiernie pomiędzy wszystkimi grupami respondentów uwzględnionymi w badaniu. Festiwal Debiutów Filmowych „Młodzi i Film”, który zajął drugie miejsce w rankingu (26%), paradoksalnie cieszy się najmniejszym powodzeniem u docelowej grupy odbiorców – ludzi młodych, z których zaledwie 12% uznało festiwal za wizytówkę miasta.</w:t>
      </w:r>
    </w:p>
    <w:p w:rsidR="003E2F6D" w:rsidRDefault="003E2F6D" w:rsidP="003E2F6D">
      <w:pPr>
        <w:jc w:val="both"/>
        <w:rPr>
          <w:sz w:val="24"/>
          <w:szCs w:val="24"/>
        </w:rPr>
      </w:pPr>
      <w:r>
        <w:rPr>
          <w:sz w:val="24"/>
          <w:szCs w:val="24"/>
        </w:rPr>
        <w:t xml:space="preserve">Kolejne pozycje zajął szereg mniej popularnych festiwali, m.in. Międzynarodowy Festiwal Organowy (5%), Festiwal „Na Fali” (3%), Festiwal Rockowy „Generacja” (3%), Ogólnopolski Festiwal Piosenki Aktorskiej „Reflektor” (2%). Wynik zero lub bliski zeru otrzymały następujące festiwale: Hanza Jazz </w:t>
      </w:r>
      <w:proofErr w:type="spellStart"/>
      <w:r>
        <w:rPr>
          <w:sz w:val="24"/>
          <w:szCs w:val="24"/>
        </w:rPr>
        <w:t>Festival</w:t>
      </w:r>
      <w:proofErr w:type="spellEnd"/>
      <w:r>
        <w:rPr>
          <w:sz w:val="24"/>
          <w:szCs w:val="24"/>
        </w:rPr>
        <w:t xml:space="preserve">, Koszalińskie Konfrontacje Młodych M-Teatr, </w:t>
      </w:r>
      <w:proofErr w:type="spellStart"/>
      <w:r>
        <w:rPr>
          <w:sz w:val="24"/>
          <w:szCs w:val="24"/>
        </w:rPr>
        <w:t>Good</w:t>
      </w:r>
      <w:proofErr w:type="spellEnd"/>
      <w:r>
        <w:rPr>
          <w:sz w:val="24"/>
          <w:szCs w:val="24"/>
        </w:rPr>
        <w:t xml:space="preserve"> </w:t>
      </w:r>
      <w:proofErr w:type="spellStart"/>
      <w:r>
        <w:rPr>
          <w:sz w:val="24"/>
          <w:szCs w:val="24"/>
        </w:rPr>
        <w:t>Vi</w:t>
      </w:r>
      <w:r w:rsidR="00B128F3">
        <w:rPr>
          <w:sz w:val="24"/>
          <w:szCs w:val="24"/>
        </w:rPr>
        <w:t>b</w:t>
      </w:r>
      <w:r>
        <w:rPr>
          <w:sz w:val="24"/>
          <w:szCs w:val="24"/>
        </w:rPr>
        <w:t>e</w:t>
      </w:r>
      <w:proofErr w:type="spellEnd"/>
      <w:r>
        <w:rPr>
          <w:sz w:val="24"/>
          <w:szCs w:val="24"/>
        </w:rPr>
        <w:t xml:space="preserve"> </w:t>
      </w:r>
      <w:proofErr w:type="spellStart"/>
      <w:r>
        <w:rPr>
          <w:sz w:val="24"/>
          <w:szCs w:val="24"/>
        </w:rPr>
        <w:t>Festival</w:t>
      </w:r>
      <w:proofErr w:type="spellEnd"/>
      <w:r>
        <w:rPr>
          <w:sz w:val="24"/>
          <w:szCs w:val="24"/>
        </w:rPr>
        <w:t xml:space="preserve">, Koszalińskie Targi Sztuki i </w:t>
      </w:r>
      <w:proofErr w:type="spellStart"/>
      <w:r>
        <w:rPr>
          <w:sz w:val="24"/>
          <w:szCs w:val="24"/>
        </w:rPr>
        <w:t>Dizajnu</w:t>
      </w:r>
      <w:proofErr w:type="spellEnd"/>
      <w:r>
        <w:rPr>
          <w:sz w:val="24"/>
          <w:szCs w:val="24"/>
        </w:rPr>
        <w:t xml:space="preserve"> oraz Międzynarodowy Festiwal Filmów Dokumentalnych o Włodzimierzu Wysockim „Pasje wg św. Włodzimierza”.</w:t>
      </w:r>
    </w:p>
    <w:p w:rsidR="003E2F6D" w:rsidRDefault="003E2F6D" w:rsidP="003E2F6D">
      <w:pPr>
        <w:jc w:val="both"/>
        <w:rPr>
          <w:sz w:val="24"/>
          <w:szCs w:val="24"/>
        </w:rPr>
      </w:pPr>
      <w:r>
        <w:rPr>
          <w:sz w:val="24"/>
          <w:szCs w:val="24"/>
        </w:rPr>
        <w:lastRenderedPageBreak/>
        <w:t>W ocenie wizytówki kulturalnej Koszalina mieszkańcy miasta wydają się różnić najmocniej od przedstawicieli środowiska ludzi kultury, których opinie stanowiły przedmiot analizy przedstawionej w raporcie „DNA Miasta: Koszalin”.</w:t>
      </w:r>
    </w:p>
    <w:p w:rsidR="003E2F6D" w:rsidRDefault="003E2F6D" w:rsidP="003E2F6D">
      <w:pPr>
        <w:jc w:val="both"/>
        <w:rPr>
          <w:sz w:val="24"/>
          <w:szCs w:val="24"/>
        </w:rPr>
      </w:pPr>
      <w:r>
        <w:rPr>
          <w:sz w:val="24"/>
          <w:szCs w:val="24"/>
        </w:rPr>
        <w:t xml:space="preserve">41% respondentów nie uczestniczyło albo nie potrafiło wskazać żadnego wydarzenia, w którym uczestniczyłoby w ciągu ostatnich kilku miesięcy; taką odpowiedź częściej wskazywali mężczyźni (46%) niż kobiety (36%). Z punktu widzenia kalendarza wydarzeń kulturalnych mieszkańcy najczęściej uczestniczą w wydarzeniach organizowanych w miesiącach letnich: maj-czerwiec (13%), lipiec-sierpień (28%) oraz wrzesień (9%). </w:t>
      </w:r>
    </w:p>
    <w:p w:rsidR="007B3F8A" w:rsidRDefault="007B3F8A" w:rsidP="003E2F6D">
      <w:pPr>
        <w:jc w:val="both"/>
        <w:rPr>
          <w:sz w:val="24"/>
          <w:szCs w:val="24"/>
        </w:rPr>
      </w:pPr>
    </w:p>
    <w:p w:rsidR="003E2F6D" w:rsidRPr="009D32FA" w:rsidRDefault="003E2F6D" w:rsidP="003E2F6D">
      <w:pPr>
        <w:jc w:val="both"/>
        <w:rPr>
          <w:sz w:val="20"/>
          <w:szCs w:val="24"/>
        </w:rPr>
      </w:pPr>
      <w:r>
        <w:rPr>
          <w:sz w:val="20"/>
          <w:szCs w:val="24"/>
        </w:rPr>
        <w:t>Wykres 5. Powody, dla których mieszkańcy nie korzystają częściej niż obecnie z wydarzeń kulturalnych</w:t>
      </w:r>
    </w:p>
    <w:p w:rsidR="003E2F6D" w:rsidRDefault="003E2F6D" w:rsidP="003E2F6D">
      <w:pPr>
        <w:jc w:val="both"/>
        <w:rPr>
          <w:sz w:val="24"/>
          <w:szCs w:val="24"/>
        </w:rPr>
      </w:pPr>
      <w:r w:rsidRPr="009D32FA">
        <w:rPr>
          <w:noProof/>
          <w:sz w:val="24"/>
          <w:szCs w:val="24"/>
          <w:lang w:eastAsia="pl-PL"/>
        </w:rPr>
        <w:drawing>
          <wp:inline distT="0" distB="0" distL="0" distR="0">
            <wp:extent cx="5876925" cy="3495675"/>
            <wp:effectExtent l="0" t="0" r="9525" b="9525"/>
            <wp:docPr id="19"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3F8A" w:rsidRDefault="007B3F8A" w:rsidP="003E2F6D">
      <w:pPr>
        <w:spacing w:after="240" w:line="240" w:lineRule="auto"/>
        <w:jc w:val="both"/>
        <w:rPr>
          <w:sz w:val="24"/>
          <w:szCs w:val="24"/>
        </w:rPr>
      </w:pPr>
    </w:p>
    <w:p w:rsidR="003E2F6D" w:rsidRDefault="003E2F6D" w:rsidP="003E2F6D">
      <w:pPr>
        <w:spacing w:after="240" w:line="240" w:lineRule="auto"/>
        <w:jc w:val="both"/>
        <w:rPr>
          <w:sz w:val="24"/>
          <w:szCs w:val="24"/>
        </w:rPr>
      </w:pPr>
      <w:r w:rsidRPr="009D32FA">
        <w:rPr>
          <w:sz w:val="24"/>
          <w:szCs w:val="24"/>
        </w:rPr>
        <w:t>Dla respondentów najczęstszymi powodami, które sprawiają, że nie korzystają częściej niż obecnie z wydarzeń kulturalnych w</w:t>
      </w:r>
      <w:r>
        <w:rPr>
          <w:sz w:val="24"/>
          <w:szCs w:val="24"/>
        </w:rPr>
        <w:t xml:space="preserve"> mieście były „brak czasu” (56</w:t>
      </w:r>
      <w:r w:rsidRPr="009D32FA">
        <w:rPr>
          <w:sz w:val="24"/>
          <w:szCs w:val="24"/>
        </w:rPr>
        <w:t>% wskazań), koszt związany z uczestnictwem (23%), stan zdrowia bądź wiek (19%) oraz brak informacji o tym</w:t>
      </w:r>
      <w:r w:rsidR="00B128F3">
        <w:rPr>
          <w:sz w:val="24"/>
          <w:szCs w:val="24"/>
        </w:rPr>
        <w:t>,</w:t>
      </w:r>
      <w:r w:rsidRPr="009D32FA">
        <w:rPr>
          <w:sz w:val="24"/>
          <w:szCs w:val="24"/>
        </w:rPr>
        <w:t xml:space="preserve"> co dzieje się w mieście (16%).</w:t>
      </w:r>
    </w:p>
    <w:p w:rsidR="003E2F6D" w:rsidRDefault="003E2F6D" w:rsidP="003E2F6D">
      <w:pPr>
        <w:spacing w:after="240" w:line="240" w:lineRule="auto"/>
        <w:jc w:val="both"/>
        <w:rPr>
          <w:sz w:val="24"/>
          <w:szCs w:val="24"/>
        </w:rPr>
      </w:pPr>
      <w:r w:rsidRPr="009B7291">
        <w:rPr>
          <w:sz w:val="24"/>
          <w:szCs w:val="24"/>
        </w:rPr>
        <w:t>Dla porównania, na identyczne pytanie zadane w badaniu CATI w Olsztynie 57,9% respondentów wskazało „brak czasu”, a koszt związany z uczestnictwem stanowi ograniczenie dla 28,4% mieszkańców</w:t>
      </w:r>
      <w:r>
        <w:rPr>
          <w:sz w:val="24"/>
          <w:szCs w:val="24"/>
        </w:rPr>
        <w:t>, co pozwala przypuszczać, że te czynniki ograniczające uczestnictwo w kulturze niekoniecznie wynikają ze specyfiki Koszalina.</w:t>
      </w:r>
    </w:p>
    <w:p w:rsidR="003E2F6D" w:rsidRPr="009D32FA" w:rsidRDefault="003E2F6D" w:rsidP="003E2F6D">
      <w:pPr>
        <w:spacing w:after="240" w:line="240" w:lineRule="auto"/>
        <w:jc w:val="both"/>
        <w:rPr>
          <w:sz w:val="24"/>
          <w:szCs w:val="24"/>
        </w:rPr>
      </w:pPr>
      <w:r>
        <w:rPr>
          <w:sz w:val="24"/>
          <w:szCs w:val="24"/>
        </w:rPr>
        <w:lastRenderedPageBreak/>
        <w:t>Wykresy 6-8 prezentują powyższe dane ustrukturyzowane z punktu widzenia płci, wieku oraz wykształcenia. Mężczyźni częściej niż kobiety tłumaczą się brakiem czasu. Z kolei osoby młode częściej niż inne grupy wykazują brak zainteresowania obecną ofertą albo zbyt małą liczbę wydarzeń, w których mieliby ochotę wziąć udział, tym bardziej, że jest to grupa najbardziej krytyczna wobec poziomu artystycznego. Co ciekawe, osoby w przedziale wiekowym 45-65 częściej niż inni wskazują wysoki koszt związany z udziałem w wydarzeniach jako barierę zniechęcającą do uczestnictwa w kulturze.</w:t>
      </w:r>
    </w:p>
    <w:p w:rsidR="007B3F8A" w:rsidRDefault="007B3F8A" w:rsidP="003E2F6D">
      <w:pPr>
        <w:jc w:val="both"/>
        <w:rPr>
          <w:sz w:val="20"/>
          <w:szCs w:val="24"/>
        </w:rPr>
      </w:pPr>
    </w:p>
    <w:p w:rsidR="003E2F6D" w:rsidRPr="009D32FA" w:rsidRDefault="003E2F6D" w:rsidP="003E2F6D">
      <w:pPr>
        <w:jc w:val="both"/>
        <w:rPr>
          <w:sz w:val="20"/>
          <w:szCs w:val="24"/>
        </w:rPr>
      </w:pPr>
      <w:r w:rsidRPr="009D32FA">
        <w:rPr>
          <w:sz w:val="20"/>
          <w:szCs w:val="24"/>
        </w:rPr>
        <w:t xml:space="preserve">Wykres 6. </w:t>
      </w:r>
      <w:r w:rsidR="007B3F8A">
        <w:rPr>
          <w:sz w:val="20"/>
          <w:szCs w:val="24"/>
        </w:rPr>
        <w:t xml:space="preserve">Powody nie uczestniczenia w wydarzeniach kulturalnych ze względu na płeć. </w:t>
      </w:r>
    </w:p>
    <w:p w:rsidR="003E2F6D" w:rsidRDefault="003E2F6D" w:rsidP="003E2F6D">
      <w:pPr>
        <w:jc w:val="both"/>
        <w:rPr>
          <w:sz w:val="20"/>
          <w:szCs w:val="24"/>
        </w:rPr>
      </w:pPr>
      <w:r w:rsidRPr="009D32FA">
        <w:rPr>
          <w:noProof/>
          <w:sz w:val="20"/>
          <w:szCs w:val="24"/>
          <w:lang w:eastAsia="pl-PL"/>
        </w:rPr>
        <w:drawing>
          <wp:inline distT="0" distB="0" distL="0" distR="0">
            <wp:extent cx="5876925" cy="6245497"/>
            <wp:effectExtent l="0" t="0" r="15875" b="3175"/>
            <wp:docPr id="2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2F6D" w:rsidRDefault="003E2F6D" w:rsidP="003E2F6D">
      <w:pPr>
        <w:jc w:val="both"/>
        <w:rPr>
          <w:sz w:val="20"/>
          <w:szCs w:val="24"/>
        </w:rPr>
      </w:pPr>
      <w:r>
        <w:rPr>
          <w:sz w:val="20"/>
          <w:szCs w:val="24"/>
        </w:rPr>
        <w:lastRenderedPageBreak/>
        <w:t>Wykres 7.</w:t>
      </w:r>
      <w:r w:rsidR="007B3F8A" w:rsidRPr="007B3F8A">
        <w:rPr>
          <w:sz w:val="20"/>
          <w:szCs w:val="24"/>
        </w:rPr>
        <w:t xml:space="preserve"> </w:t>
      </w:r>
      <w:r w:rsidR="007B3F8A">
        <w:rPr>
          <w:sz w:val="20"/>
          <w:szCs w:val="24"/>
        </w:rPr>
        <w:t>Powody nie uczestniczenia w wydarzeniach kulturalnych ze względu na wiek.</w:t>
      </w:r>
    </w:p>
    <w:p w:rsidR="003E2F6D" w:rsidRDefault="003E2F6D" w:rsidP="003E2F6D">
      <w:pPr>
        <w:jc w:val="both"/>
        <w:rPr>
          <w:sz w:val="20"/>
          <w:szCs w:val="24"/>
        </w:rPr>
      </w:pPr>
      <w:r w:rsidRPr="009D32FA">
        <w:rPr>
          <w:noProof/>
          <w:sz w:val="20"/>
          <w:szCs w:val="24"/>
          <w:lang w:eastAsia="pl-PL"/>
        </w:rPr>
        <w:drawing>
          <wp:inline distT="0" distB="0" distL="0" distR="0">
            <wp:extent cx="5760720" cy="3790950"/>
            <wp:effectExtent l="0" t="0" r="11430" b="0"/>
            <wp:docPr id="26"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2F6D" w:rsidRDefault="003E2F6D" w:rsidP="003E2F6D">
      <w:pPr>
        <w:jc w:val="both"/>
        <w:rPr>
          <w:sz w:val="20"/>
          <w:szCs w:val="24"/>
        </w:rPr>
      </w:pPr>
      <w:r>
        <w:rPr>
          <w:sz w:val="20"/>
          <w:szCs w:val="24"/>
        </w:rPr>
        <w:t>Wykres 8.</w:t>
      </w:r>
      <w:r w:rsidR="007B3F8A">
        <w:rPr>
          <w:sz w:val="20"/>
          <w:szCs w:val="24"/>
        </w:rPr>
        <w:t xml:space="preserve"> Powody nie uczestniczenia w wydarzeniach kulturalnych ze względu na wykształcenie.</w:t>
      </w:r>
    </w:p>
    <w:p w:rsidR="003E2F6D" w:rsidRDefault="003E2F6D" w:rsidP="003E2F6D">
      <w:pPr>
        <w:jc w:val="both"/>
        <w:rPr>
          <w:sz w:val="20"/>
          <w:szCs w:val="24"/>
        </w:rPr>
      </w:pPr>
      <w:r w:rsidRPr="009D32FA">
        <w:rPr>
          <w:noProof/>
          <w:sz w:val="20"/>
          <w:szCs w:val="24"/>
          <w:lang w:eastAsia="pl-PL"/>
        </w:rPr>
        <w:drawing>
          <wp:inline distT="0" distB="0" distL="0" distR="0">
            <wp:extent cx="5760720" cy="3862614"/>
            <wp:effectExtent l="0" t="0" r="5080" b="24130"/>
            <wp:docPr id="27"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2F6D" w:rsidRDefault="003E2F6D" w:rsidP="003E2F6D">
      <w:pPr>
        <w:jc w:val="both"/>
        <w:rPr>
          <w:sz w:val="20"/>
          <w:szCs w:val="24"/>
        </w:rPr>
      </w:pPr>
    </w:p>
    <w:p w:rsidR="003E2F6D" w:rsidRPr="006663BF" w:rsidRDefault="003E2F6D" w:rsidP="003E2F6D">
      <w:pPr>
        <w:jc w:val="both"/>
        <w:rPr>
          <w:sz w:val="24"/>
          <w:szCs w:val="24"/>
        </w:rPr>
      </w:pPr>
      <w:r>
        <w:rPr>
          <w:sz w:val="20"/>
          <w:szCs w:val="24"/>
        </w:rPr>
        <w:t>Wykres 9</w:t>
      </w:r>
      <w:r w:rsidRPr="005A41BB">
        <w:rPr>
          <w:sz w:val="20"/>
          <w:szCs w:val="24"/>
        </w:rPr>
        <w:t xml:space="preserve">. </w:t>
      </w:r>
      <w:r w:rsidR="007B3F8A">
        <w:rPr>
          <w:sz w:val="20"/>
          <w:szCs w:val="24"/>
        </w:rPr>
        <w:t>Źródła informacji</w:t>
      </w:r>
      <w:r w:rsidRPr="005A41BB">
        <w:rPr>
          <w:sz w:val="20"/>
          <w:szCs w:val="24"/>
        </w:rPr>
        <w:t xml:space="preserve"> o ofercie kulturalnej</w:t>
      </w:r>
      <w:r w:rsidR="007B3F8A">
        <w:rPr>
          <w:sz w:val="20"/>
          <w:szCs w:val="24"/>
        </w:rPr>
        <w:t xml:space="preserve">. </w:t>
      </w:r>
    </w:p>
    <w:p w:rsidR="003E2F6D" w:rsidRPr="00F00F00" w:rsidRDefault="003E2F6D" w:rsidP="003E2F6D">
      <w:pPr>
        <w:rPr>
          <w:b/>
          <w:sz w:val="24"/>
          <w:szCs w:val="24"/>
        </w:rPr>
      </w:pPr>
      <w:r w:rsidRPr="00F00F00">
        <w:rPr>
          <w:b/>
          <w:noProof/>
          <w:sz w:val="24"/>
          <w:szCs w:val="24"/>
          <w:lang w:eastAsia="pl-PL"/>
        </w:rPr>
        <w:drawing>
          <wp:inline distT="0" distB="0" distL="0" distR="0">
            <wp:extent cx="5791200" cy="321945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2F6D" w:rsidRDefault="003E2F6D" w:rsidP="003E2F6D">
      <w:pPr>
        <w:rPr>
          <w:b/>
          <w:sz w:val="24"/>
          <w:szCs w:val="24"/>
        </w:rPr>
      </w:pPr>
    </w:p>
    <w:p w:rsidR="003E2F6D" w:rsidRDefault="003E2F6D" w:rsidP="003E2F6D">
      <w:pPr>
        <w:jc w:val="both"/>
        <w:rPr>
          <w:sz w:val="24"/>
          <w:szCs w:val="24"/>
        </w:rPr>
      </w:pPr>
      <w:r>
        <w:rPr>
          <w:sz w:val="24"/>
          <w:szCs w:val="24"/>
        </w:rPr>
        <w:t xml:space="preserve">Szukając informacji o wydarzeniach kulturalnych w Koszalinie mieszkańcy najchętniej korzystają ze źródeł internetowych (74%), w tym 28% z serwisu Facebook. </w:t>
      </w:r>
    </w:p>
    <w:p w:rsidR="003E2F6D" w:rsidRPr="00FC70B6" w:rsidRDefault="003E2F6D" w:rsidP="003E2F6D">
      <w:pPr>
        <w:jc w:val="both"/>
        <w:rPr>
          <w:sz w:val="24"/>
          <w:szCs w:val="24"/>
        </w:rPr>
      </w:pPr>
      <w:r>
        <w:rPr>
          <w:sz w:val="24"/>
          <w:szCs w:val="24"/>
        </w:rPr>
        <w:t>Zastanawiający jest mały udział informatora kulturalnego „Trendy”, którego wskazało zaledwie 6% respondentów, co wskazuje – i wyrażane było po części również przez liderów i twórców kultury – pilną potrzebę przemyślenia obecnego kształtu czy sposobu dystr</w:t>
      </w:r>
      <w:r w:rsidR="00FB680E">
        <w:rPr>
          <w:sz w:val="24"/>
          <w:szCs w:val="24"/>
        </w:rPr>
        <w:t>y</w:t>
      </w:r>
      <w:r>
        <w:rPr>
          <w:sz w:val="24"/>
          <w:szCs w:val="24"/>
        </w:rPr>
        <w:t>bucji informatora. Co ciekawe, o wiele częściej mieszkańcy dowiadują się o ofercie z ulotek i plakatów. Tradycyjne media – prasa, radio i telewizja – otrzymało zbliżony wynik w okolicach dwudziestu kilku procent.</w:t>
      </w:r>
    </w:p>
    <w:p w:rsidR="003E2F6D" w:rsidRDefault="003E2F6D" w:rsidP="003E2F6D">
      <w:pPr>
        <w:rPr>
          <w:b/>
          <w:sz w:val="24"/>
          <w:szCs w:val="24"/>
        </w:rPr>
      </w:pPr>
    </w:p>
    <w:p w:rsidR="003E2F6D" w:rsidRPr="00F00F00" w:rsidRDefault="003E2F6D" w:rsidP="003E2F6D">
      <w:pPr>
        <w:rPr>
          <w:b/>
          <w:sz w:val="24"/>
          <w:szCs w:val="24"/>
        </w:rPr>
      </w:pPr>
      <w:r>
        <w:rPr>
          <w:b/>
          <w:sz w:val="24"/>
          <w:szCs w:val="24"/>
        </w:rPr>
        <w:t xml:space="preserve">2. </w:t>
      </w:r>
      <w:r w:rsidRPr="00F00F00">
        <w:rPr>
          <w:b/>
          <w:sz w:val="24"/>
          <w:szCs w:val="24"/>
        </w:rPr>
        <w:t>Uczestnictwo w kulturze</w:t>
      </w:r>
      <w:r>
        <w:rPr>
          <w:b/>
          <w:sz w:val="24"/>
          <w:szCs w:val="24"/>
        </w:rPr>
        <w:t xml:space="preserve"> i ocena instytucji kultury</w:t>
      </w:r>
    </w:p>
    <w:p w:rsidR="003E2F6D" w:rsidRDefault="003E2F6D" w:rsidP="003E2F6D">
      <w:pPr>
        <w:rPr>
          <w:sz w:val="24"/>
          <w:szCs w:val="24"/>
        </w:rPr>
      </w:pPr>
      <w:r>
        <w:rPr>
          <w:sz w:val="24"/>
          <w:szCs w:val="24"/>
        </w:rPr>
        <w:t>Wykresy 6-10 obrazują popularność poszczególnych miejskich instytucji wśród mieszkańców Koszalina.</w:t>
      </w:r>
    </w:p>
    <w:p w:rsidR="007B3F8A" w:rsidRDefault="007B3F8A" w:rsidP="003E2F6D">
      <w:pPr>
        <w:rPr>
          <w:sz w:val="24"/>
          <w:szCs w:val="24"/>
        </w:rPr>
      </w:pPr>
    </w:p>
    <w:p w:rsidR="007B3F8A" w:rsidRPr="00522DBB" w:rsidRDefault="007B3F8A" w:rsidP="003E2F6D">
      <w:pPr>
        <w:rPr>
          <w:sz w:val="24"/>
          <w:szCs w:val="24"/>
        </w:rPr>
      </w:pPr>
    </w:p>
    <w:p w:rsidR="003E2F6D" w:rsidRPr="005A41BB" w:rsidRDefault="003E2F6D" w:rsidP="003E2F6D">
      <w:pPr>
        <w:jc w:val="both"/>
        <w:rPr>
          <w:b/>
          <w:sz w:val="20"/>
          <w:szCs w:val="24"/>
        </w:rPr>
      </w:pPr>
      <w:r>
        <w:rPr>
          <w:sz w:val="20"/>
          <w:szCs w:val="24"/>
        </w:rPr>
        <w:lastRenderedPageBreak/>
        <w:t>Wykres 10</w:t>
      </w:r>
      <w:r w:rsidRPr="005A41BB">
        <w:rPr>
          <w:sz w:val="20"/>
          <w:szCs w:val="24"/>
        </w:rPr>
        <w:t>. Czy kiedykolwiek odwiedzał(a) Pani(i) lub uczestniczyła w wydarzeniach organizowanych przez Bałtycki Teatr Dramatyczny im. Juliusza Słowackiego</w:t>
      </w:r>
      <w:r>
        <w:rPr>
          <w:sz w:val="20"/>
          <w:szCs w:val="24"/>
        </w:rPr>
        <w:t>.</w:t>
      </w:r>
    </w:p>
    <w:p w:rsidR="003E2F6D" w:rsidRPr="00F00F00" w:rsidRDefault="003E2F6D" w:rsidP="003E2F6D">
      <w:pPr>
        <w:rPr>
          <w:b/>
          <w:sz w:val="24"/>
          <w:szCs w:val="24"/>
        </w:rPr>
      </w:pPr>
      <w:r w:rsidRPr="00F00F00">
        <w:rPr>
          <w:b/>
          <w:noProof/>
          <w:sz w:val="24"/>
          <w:szCs w:val="24"/>
          <w:lang w:eastAsia="pl-PL"/>
        </w:rPr>
        <w:drawing>
          <wp:inline distT="0" distB="0" distL="0" distR="0">
            <wp:extent cx="5800725" cy="3124200"/>
            <wp:effectExtent l="0" t="0" r="9525"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2F6D" w:rsidRDefault="003E2F6D" w:rsidP="003E2F6D">
      <w:pPr>
        <w:jc w:val="both"/>
        <w:rPr>
          <w:sz w:val="20"/>
          <w:szCs w:val="24"/>
        </w:rPr>
      </w:pPr>
    </w:p>
    <w:p w:rsidR="003E2F6D" w:rsidRPr="00F00F00" w:rsidRDefault="003E2F6D" w:rsidP="003E2F6D">
      <w:pPr>
        <w:jc w:val="both"/>
        <w:rPr>
          <w:b/>
          <w:sz w:val="24"/>
          <w:szCs w:val="24"/>
        </w:rPr>
      </w:pPr>
      <w:r w:rsidRPr="005A41BB">
        <w:rPr>
          <w:sz w:val="20"/>
          <w:szCs w:val="24"/>
        </w:rPr>
        <w:t xml:space="preserve">Wykres </w:t>
      </w:r>
      <w:r>
        <w:rPr>
          <w:sz w:val="20"/>
          <w:szCs w:val="24"/>
        </w:rPr>
        <w:t>11</w:t>
      </w:r>
      <w:r w:rsidRPr="005A41BB">
        <w:rPr>
          <w:sz w:val="20"/>
          <w:szCs w:val="24"/>
        </w:rPr>
        <w:t xml:space="preserve">. Czy kiedykolwiek odwiedzał(a) Pani(i) lub uczestniczyła w wydarzeniach organizowanych przez </w:t>
      </w:r>
      <w:r>
        <w:rPr>
          <w:sz w:val="20"/>
          <w:szCs w:val="24"/>
        </w:rPr>
        <w:t>Centrum Kultury 105 w Koszalinie.</w:t>
      </w:r>
    </w:p>
    <w:p w:rsidR="003E2F6D" w:rsidRDefault="003E2F6D" w:rsidP="003E2F6D">
      <w:pPr>
        <w:rPr>
          <w:b/>
          <w:sz w:val="24"/>
          <w:szCs w:val="24"/>
        </w:rPr>
      </w:pPr>
      <w:r w:rsidRPr="00F00F00">
        <w:rPr>
          <w:b/>
          <w:noProof/>
          <w:sz w:val="24"/>
          <w:szCs w:val="24"/>
          <w:lang w:eastAsia="pl-PL"/>
        </w:rPr>
        <w:drawing>
          <wp:inline distT="0" distB="0" distL="0" distR="0">
            <wp:extent cx="5838825" cy="2895600"/>
            <wp:effectExtent l="0" t="0" r="9525"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2F6D" w:rsidRDefault="003E2F6D" w:rsidP="003E2F6D">
      <w:pPr>
        <w:jc w:val="both"/>
        <w:rPr>
          <w:sz w:val="20"/>
          <w:szCs w:val="24"/>
        </w:rPr>
      </w:pPr>
    </w:p>
    <w:p w:rsidR="00333A45" w:rsidRDefault="00333A45" w:rsidP="003E2F6D">
      <w:pPr>
        <w:jc w:val="both"/>
        <w:rPr>
          <w:sz w:val="20"/>
          <w:szCs w:val="24"/>
        </w:rPr>
      </w:pPr>
    </w:p>
    <w:p w:rsidR="003E2F6D" w:rsidRPr="00F00F00" w:rsidRDefault="003E2F6D" w:rsidP="003E2F6D">
      <w:pPr>
        <w:jc w:val="both"/>
        <w:rPr>
          <w:b/>
          <w:sz w:val="24"/>
          <w:szCs w:val="24"/>
        </w:rPr>
      </w:pPr>
      <w:r w:rsidRPr="005A41BB">
        <w:rPr>
          <w:sz w:val="20"/>
          <w:szCs w:val="24"/>
        </w:rPr>
        <w:lastRenderedPageBreak/>
        <w:t xml:space="preserve">Wykres </w:t>
      </w:r>
      <w:r>
        <w:rPr>
          <w:sz w:val="20"/>
          <w:szCs w:val="24"/>
        </w:rPr>
        <w:t>12</w:t>
      </w:r>
      <w:r w:rsidRPr="005A41BB">
        <w:rPr>
          <w:sz w:val="20"/>
          <w:szCs w:val="24"/>
        </w:rPr>
        <w:t xml:space="preserve">. Czy kiedykolwiek odwiedzał(a) Pani(i) lub uczestniczyła w wydarzeniach organizowanych przez </w:t>
      </w:r>
      <w:r>
        <w:rPr>
          <w:sz w:val="20"/>
          <w:szCs w:val="24"/>
        </w:rPr>
        <w:t>Filharmonię Koszalińską im. Stanisława Moniuszki.</w:t>
      </w:r>
    </w:p>
    <w:p w:rsidR="003E2F6D" w:rsidRPr="00F00F00" w:rsidRDefault="003E2F6D" w:rsidP="003E2F6D">
      <w:pPr>
        <w:rPr>
          <w:b/>
          <w:sz w:val="24"/>
          <w:szCs w:val="24"/>
        </w:rPr>
      </w:pPr>
      <w:r w:rsidRPr="00F00F00">
        <w:rPr>
          <w:b/>
          <w:noProof/>
          <w:sz w:val="24"/>
          <w:szCs w:val="24"/>
          <w:lang w:eastAsia="pl-PL"/>
        </w:rPr>
        <w:drawing>
          <wp:inline distT="0" distB="0" distL="0" distR="0">
            <wp:extent cx="5760720" cy="2844800"/>
            <wp:effectExtent l="0" t="0" r="11430" b="1270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F6D" w:rsidRDefault="003E2F6D" w:rsidP="003E2F6D">
      <w:pPr>
        <w:jc w:val="both"/>
        <w:rPr>
          <w:sz w:val="20"/>
          <w:szCs w:val="24"/>
        </w:rPr>
      </w:pPr>
    </w:p>
    <w:p w:rsidR="003E2F6D" w:rsidRPr="00F00F00" w:rsidRDefault="003E2F6D" w:rsidP="003E2F6D">
      <w:pPr>
        <w:jc w:val="both"/>
        <w:rPr>
          <w:b/>
          <w:sz w:val="24"/>
          <w:szCs w:val="24"/>
        </w:rPr>
      </w:pPr>
      <w:r w:rsidRPr="005A41BB">
        <w:rPr>
          <w:sz w:val="20"/>
          <w:szCs w:val="24"/>
        </w:rPr>
        <w:t xml:space="preserve">Wykres </w:t>
      </w:r>
      <w:r>
        <w:rPr>
          <w:sz w:val="20"/>
          <w:szCs w:val="24"/>
        </w:rPr>
        <w:t>13.</w:t>
      </w:r>
      <w:r w:rsidRPr="005A41BB">
        <w:rPr>
          <w:sz w:val="20"/>
          <w:szCs w:val="24"/>
        </w:rPr>
        <w:t xml:space="preserve"> Czy kiedykolwiek odwiedzał(a) Pani(i) lub uczestniczyła w wydarzeniach organizowanych przez </w:t>
      </w:r>
      <w:r>
        <w:rPr>
          <w:sz w:val="20"/>
          <w:szCs w:val="24"/>
        </w:rPr>
        <w:t>Koszalińską Bibliotekę Publiczną im. Joachima Lelewela.</w:t>
      </w:r>
    </w:p>
    <w:p w:rsidR="003E2F6D" w:rsidRPr="00F00F00" w:rsidRDefault="003E2F6D" w:rsidP="003E2F6D">
      <w:pPr>
        <w:rPr>
          <w:b/>
          <w:sz w:val="24"/>
          <w:szCs w:val="24"/>
        </w:rPr>
      </w:pPr>
      <w:r w:rsidRPr="00F00F00">
        <w:rPr>
          <w:b/>
          <w:noProof/>
          <w:sz w:val="24"/>
          <w:szCs w:val="24"/>
          <w:lang w:eastAsia="pl-PL"/>
        </w:rPr>
        <w:drawing>
          <wp:inline distT="0" distB="0" distL="0" distR="0">
            <wp:extent cx="5760720" cy="3200400"/>
            <wp:effectExtent l="0" t="0" r="1143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2F6D" w:rsidRDefault="003E2F6D" w:rsidP="003E2F6D">
      <w:pPr>
        <w:jc w:val="both"/>
        <w:rPr>
          <w:sz w:val="20"/>
          <w:szCs w:val="24"/>
        </w:rPr>
      </w:pPr>
    </w:p>
    <w:p w:rsidR="00333A45" w:rsidRDefault="00333A45" w:rsidP="003E2F6D">
      <w:pPr>
        <w:jc w:val="both"/>
        <w:rPr>
          <w:sz w:val="20"/>
          <w:szCs w:val="24"/>
        </w:rPr>
      </w:pPr>
    </w:p>
    <w:p w:rsidR="003E2F6D" w:rsidRPr="00F00F00" w:rsidRDefault="003E2F6D" w:rsidP="003E2F6D">
      <w:pPr>
        <w:jc w:val="both"/>
        <w:rPr>
          <w:b/>
          <w:sz w:val="24"/>
          <w:szCs w:val="24"/>
        </w:rPr>
      </w:pPr>
      <w:r w:rsidRPr="005A41BB">
        <w:rPr>
          <w:sz w:val="20"/>
          <w:szCs w:val="24"/>
        </w:rPr>
        <w:lastRenderedPageBreak/>
        <w:t xml:space="preserve">Wykres </w:t>
      </w:r>
      <w:r>
        <w:rPr>
          <w:sz w:val="20"/>
          <w:szCs w:val="24"/>
        </w:rPr>
        <w:t>14</w:t>
      </w:r>
      <w:r w:rsidRPr="005A41BB">
        <w:rPr>
          <w:sz w:val="20"/>
          <w:szCs w:val="24"/>
        </w:rPr>
        <w:t xml:space="preserve">. Czy kiedykolwiek odwiedzał(a) Pani(i) lub uczestniczyła w wydarzeniach organizowanych przez </w:t>
      </w:r>
      <w:r>
        <w:rPr>
          <w:sz w:val="20"/>
          <w:szCs w:val="24"/>
        </w:rPr>
        <w:t>Muzeum w Koszalinie</w:t>
      </w:r>
    </w:p>
    <w:p w:rsidR="003E2F6D" w:rsidRPr="00F00F00" w:rsidRDefault="003E2F6D" w:rsidP="003E2F6D">
      <w:pPr>
        <w:rPr>
          <w:b/>
          <w:sz w:val="24"/>
          <w:szCs w:val="24"/>
        </w:rPr>
      </w:pPr>
      <w:r w:rsidRPr="00F00F00">
        <w:rPr>
          <w:b/>
          <w:noProof/>
          <w:sz w:val="24"/>
          <w:szCs w:val="24"/>
          <w:lang w:eastAsia="pl-PL"/>
        </w:rPr>
        <w:drawing>
          <wp:inline distT="0" distB="0" distL="0" distR="0">
            <wp:extent cx="5762625" cy="2844800"/>
            <wp:effectExtent l="0" t="0" r="9525" b="1270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E2F6D" w:rsidRDefault="003E2F6D" w:rsidP="003E2F6D">
      <w:pPr>
        <w:spacing w:after="240" w:line="240" w:lineRule="auto"/>
        <w:jc w:val="both"/>
        <w:rPr>
          <w:sz w:val="24"/>
          <w:szCs w:val="24"/>
        </w:rPr>
      </w:pPr>
      <w:r>
        <w:rPr>
          <w:sz w:val="24"/>
          <w:szCs w:val="24"/>
        </w:rPr>
        <w:t xml:space="preserve">Powyższe dane powinny stać się przedmiotem refleksji władz miasta. </w:t>
      </w:r>
      <w:r w:rsidRPr="001C1030">
        <w:rPr>
          <w:sz w:val="24"/>
          <w:szCs w:val="24"/>
        </w:rPr>
        <w:t>Prawie połowa respondentów nigdy nie odwiedziła ani nie brała udziału w wydarzeniach organizowanych przez koszalińskie instytucje kultury. 66% respondentów nigdy nie odwiedziło Filharmonii Koszalińskiej</w:t>
      </w:r>
      <w:r>
        <w:rPr>
          <w:sz w:val="24"/>
          <w:szCs w:val="24"/>
        </w:rPr>
        <w:t>, która uznawana jest powszechnie za jedną z najmocniejszych stron koszalińskiej kultury.</w:t>
      </w:r>
    </w:p>
    <w:p w:rsidR="003E2F6D" w:rsidRPr="00E01E91" w:rsidRDefault="003E2F6D" w:rsidP="003E2F6D">
      <w:pPr>
        <w:spacing w:after="240" w:line="240" w:lineRule="auto"/>
        <w:jc w:val="both"/>
        <w:rPr>
          <w:b/>
          <w:sz w:val="24"/>
          <w:szCs w:val="24"/>
        </w:rPr>
      </w:pPr>
      <w:r w:rsidRPr="00F00F00">
        <w:rPr>
          <w:sz w:val="24"/>
          <w:szCs w:val="24"/>
        </w:rPr>
        <w:t>Najczęściej odwiedzaną miejską instytucją kultury jest Muzeum w Koszalinie, które jest odwiedzane „raz w roku</w:t>
      </w:r>
      <w:r>
        <w:rPr>
          <w:sz w:val="24"/>
          <w:szCs w:val="24"/>
        </w:rPr>
        <w:t>” przez 33</w:t>
      </w:r>
      <w:r w:rsidRPr="00F00F00">
        <w:rPr>
          <w:sz w:val="24"/>
          <w:szCs w:val="24"/>
        </w:rPr>
        <w:t>% respondentów.</w:t>
      </w:r>
      <w:r>
        <w:rPr>
          <w:sz w:val="24"/>
          <w:szCs w:val="24"/>
        </w:rPr>
        <w:t xml:space="preserve"> Jednocześnie zaledwie 37% mieszkańców nigdy nie odwiedziło tej instytucji, co jest bez wątpienia imponującym wynikiem na tle pozostałych czterech instytucji. Muzeum cieszy się największą popularnością wśród dorosłych osób pracujących (przedziały wiekowe 30-44 i 44-64), spośród których „kilka razy w roku” bywa – odpowiednio – 10% i 6% ankietowanych, a „raz do roku” – 41% i 37%. Ten ostatni wynik może sugerować nie tyle atrakcyjność samego Muzeum, co organizowane rokrocznie Noc Muzeów. </w:t>
      </w:r>
    </w:p>
    <w:p w:rsidR="003E2F6D" w:rsidRDefault="003E2F6D" w:rsidP="003E2F6D">
      <w:pPr>
        <w:spacing w:after="240" w:line="240" w:lineRule="auto"/>
        <w:jc w:val="both"/>
        <w:rPr>
          <w:sz w:val="24"/>
          <w:szCs w:val="24"/>
        </w:rPr>
      </w:pPr>
      <w:r>
        <w:rPr>
          <w:sz w:val="24"/>
          <w:szCs w:val="24"/>
        </w:rPr>
        <w:t xml:space="preserve">Niewiele ponad </w:t>
      </w:r>
      <w:r w:rsidRPr="001C1030">
        <w:rPr>
          <w:sz w:val="24"/>
          <w:szCs w:val="24"/>
        </w:rPr>
        <w:t>1% respondentów korzysta z oferty miejskich ins</w:t>
      </w:r>
      <w:r>
        <w:rPr>
          <w:sz w:val="24"/>
          <w:szCs w:val="24"/>
        </w:rPr>
        <w:t xml:space="preserve">tytucji „kilka razy </w:t>
      </w:r>
      <w:r w:rsidR="00333A45">
        <w:rPr>
          <w:sz w:val="24"/>
          <w:szCs w:val="24"/>
        </w:rPr>
        <w:br/>
      </w:r>
      <w:r>
        <w:rPr>
          <w:sz w:val="24"/>
          <w:szCs w:val="24"/>
        </w:rPr>
        <w:t xml:space="preserve">w miesiącu”, co wydaje się szczególnie istotne w kontekście dwóch instytucji, których specyfika, funkcja oraz oferta powinny wychodzić naprzeciw codziennym potrzebom mieszkańców Koszalina. </w:t>
      </w:r>
    </w:p>
    <w:p w:rsidR="003E2F6D" w:rsidRDefault="003E2F6D" w:rsidP="003E2F6D">
      <w:pPr>
        <w:spacing w:after="240" w:line="240" w:lineRule="auto"/>
        <w:jc w:val="both"/>
        <w:rPr>
          <w:sz w:val="24"/>
          <w:szCs w:val="24"/>
        </w:rPr>
      </w:pPr>
      <w:r>
        <w:rPr>
          <w:sz w:val="24"/>
          <w:szCs w:val="24"/>
        </w:rPr>
        <w:t>Centrum Kultury 105 – 17% respondentów odwiedza je „kilka razy w roku”, a analizując podział strukturalny wśród respondentów, najliczniejszą grupą odbiorców są ludzie młodzi: 18% odwiedza instytucję „kilka razy w roku”, chociaż „raz do roku” aż 26%. Pod względem poziomu wykształcenia odbiorcy korzystający z oferty Centrum Kultury „kilka razy w roku” to przede wszystkim osoby z wyższym wykształceniem, spośród których aż 34% wskazało tę odpowiedź.</w:t>
      </w:r>
    </w:p>
    <w:p w:rsidR="003E2F6D" w:rsidRDefault="003E2F6D" w:rsidP="003E2F6D">
      <w:pPr>
        <w:spacing w:after="240" w:line="240" w:lineRule="auto"/>
        <w:jc w:val="both"/>
        <w:rPr>
          <w:sz w:val="24"/>
          <w:szCs w:val="24"/>
        </w:rPr>
      </w:pPr>
      <w:r>
        <w:rPr>
          <w:sz w:val="24"/>
          <w:szCs w:val="24"/>
        </w:rPr>
        <w:lastRenderedPageBreak/>
        <w:t>Koszalińska Biblioteka – największa liczba respondentów (18%) odwiedza ją „rzadziej niż raz w roku”. Biorąc pod uwagę płeć, wiek i wykształcenie, Biblioteka odwiedzana jest w równej mierze przez wszystkie wyszczególnione grupy.</w:t>
      </w:r>
    </w:p>
    <w:p w:rsidR="003E2F6D" w:rsidRDefault="003E2F6D" w:rsidP="003E2F6D">
      <w:pPr>
        <w:spacing w:after="240" w:line="240" w:lineRule="auto"/>
        <w:jc w:val="both"/>
        <w:rPr>
          <w:sz w:val="24"/>
          <w:szCs w:val="24"/>
        </w:rPr>
      </w:pPr>
      <w:r>
        <w:rPr>
          <w:sz w:val="24"/>
          <w:szCs w:val="24"/>
        </w:rPr>
        <w:t>Jeśli pogrupować możliwe odpowiedzi na dwie podkategorie odpowiedzi – 1) nigdy albo rzadziej niż raz w roku oraz 2) raz do roku i częściej, wyniki prezentują się w sposób następujący:</w:t>
      </w:r>
    </w:p>
    <w:p w:rsidR="003E2F6D" w:rsidRDefault="003E2F6D" w:rsidP="003E2F6D">
      <w:pPr>
        <w:spacing w:after="240" w:line="240" w:lineRule="auto"/>
        <w:jc w:val="both"/>
        <w:rPr>
          <w:sz w:val="24"/>
          <w:szCs w:val="24"/>
        </w:rPr>
      </w:pPr>
    </w:p>
    <w:p w:rsidR="003E2F6D" w:rsidRPr="0049680E" w:rsidRDefault="003E2F6D" w:rsidP="003E2F6D">
      <w:pPr>
        <w:spacing w:after="240" w:line="240" w:lineRule="auto"/>
        <w:jc w:val="both"/>
        <w:rPr>
          <w:sz w:val="20"/>
          <w:szCs w:val="24"/>
        </w:rPr>
      </w:pPr>
      <w:r>
        <w:rPr>
          <w:sz w:val="20"/>
          <w:szCs w:val="24"/>
        </w:rPr>
        <w:t xml:space="preserve">Wykres 15. Porównanie popularności instytucji – podział na dwie kategorie </w:t>
      </w:r>
    </w:p>
    <w:p w:rsidR="003E2F6D" w:rsidRDefault="003E2F6D" w:rsidP="003E2F6D">
      <w:pPr>
        <w:spacing w:after="240" w:line="240" w:lineRule="auto"/>
        <w:jc w:val="both"/>
        <w:rPr>
          <w:sz w:val="24"/>
          <w:szCs w:val="24"/>
        </w:rPr>
      </w:pPr>
      <w:r w:rsidRPr="0049680E">
        <w:rPr>
          <w:noProof/>
          <w:sz w:val="24"/>
          <w:szCs w:val="24"/>
          <w:lang w:eastAsia="pl-PL"/>
        </w:rPr>
        <w:drawing>
          <wp:inline distT="0" distB="0" distL="0" distR="0">
            <wp:extent cx="5934075" cy="3668395"/>
            <wp:effectExtent l="0" t="0" r="9525" b="8255"/>
            <wp:docPr id="17"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2F6D" w:rsidRPr="0049680E" w:rsidRDefault="003E2F6D" w:rsidP="003E2F6D">
      <w:pPr>
        <w:jc w:val="both"/>
        <w:rPr>
          <w:sz w:val="24"/>
          <w:szCs w:val="24"/>
        </w:rPr>
      </w:pPr>
    </w:p>
    <w:p w:rsidR="003E2F6D" w:rsidRPr="0049680E" w:rsidRDefault="003E2F6D" w:rsidP="003E2F6D">
      <w:pPr>
        <w:jc w:val="both"/>
        <w:rPr>
          <w:sz w:val="24"/>
          <w:szCs w:val="24"/>
        </w:rPr>
      </w:pPr>
      <w:r w:rsidRPr="0049680E">
        <w:rPr>
          <w:sz w:val="24"/>
          <w:szCs w:val="24"/>
        </w:rPr>
        <w:t>Wykres 1</w:t>
      </w:r>
      <w:r>
        <w:rPr>
          <w:sz w:val="24"/>
          <w:szCs w:val="24"/>
        </w:rPr>
        <w:t>6 przedstawia zbiorcze podsumowanie wyników uczestnictwa w kulturze instytucjonalnej.</w:t>
      </w:r>
    </w:p>
    <w:p w:rsidR="003E2F6D" w:rsidRDefault="003E2F6D" w:rsidP="003E2F6D">
      <w:pPr>
        <w:rPr>
          <w:sz w:val="20"/>
          <w:szCs w:val="24"/>
        </w:rPr>
      </w:pPr>
    </w:p>
    <w:p w:rsidR="00333A45" w:rsidRDefault="00333A45" w:rsidP="003E2F6D">
      <w:pPr>
        <w:rPr>
          <w:sz w:val="20"/>
          <w:szCs w:val="24"/>
        </w:rPr>
      </w:pPr>
    </w:p>
    <w:p w:rsidR="00333A45" w:rsidRDefault="00333A45" w:rsidP="003E2F6D">
      <w:pPr>
        <w:rPr>
          <w:sz w:val="20"/>
          <w:szCs w:val="24"/>
        </w:rPr>
      </w:pPr>
    </w:p>
    <w:p w:rsidR="00333A45" w:rsidRDefault="00333A45" w:rsidP="003E2F6D">
      <w:pPr>
        <w:rPr>
          <w:sz w:val="20"/>
          <w:szCs w:val="24"/>
        </w:rPr>
      </w:pPr>
    </w:p>
    <w:p w:rsidR="00333A45" w:rsidRDefault="00333A45" w:rsidP="003E2F6D">
      <w:pPr>
        <w:rPr>
          <w:sz w:val="20"/>
          <w:szCs w:val="24"/>
        </w:rPr>
      </w:pPr>
    </w:p>
    <w:p w:rsidR="00333A45" w:rsidRDefault="00333A45" w:rsidP="003E2F6D">
      <w:pPr>
        <w:rPr>
          <w:sz w:val="20"/>
          <w:szCs w:val="24"/>
        </w:rPr>
      </w:pPr>
    </w:p>
    <w:p w:rsidR="003E2F6D" w:rsidRPr="00E01E91" w:rsidRDefault="003E2F6D" w:rsidP="003E2F6D">
      <w:pPr>
        <w:rPr>
          <w:sz w:val="20"/>
          <w:szCs w:val="24"/>
        </w:rPr>
      </w:pPr>
      <w:r>
        <w:rPr>
          <w:sz w:val="20"/>
          <w:szCs w:val="24"/>
        </w:rPr>
        <w:lastRenderedPageBreak/>
        <w:t>Wykres 16</w:t>
      </w:r>
      <w:r w:rsidRPr="00E01E91">
        <w:rPr>
          <w:sz w:val="20"/>
          <w:szCs w:val="24"/>
        </w:rPr>
        <w:t>. Porównanie wyników instytucji kultury</w:t>
      </w:r>
    </w:p>
    <w:p w:rsidR="003E2F6D" w:rsidRPr="00F00F00" w:rsidRDefault="003E2F6D" w:rsidP="003E2F6D">
      <w:pPr>
        <w:rPr>
          <w:b/>
          <w:sz w:val="24"/>
          <w:szCs w:val="24"/>
        </w:rPr>
      </w:pPr>
      <w:r w:rsidRPr="00F00F00">
        <w:rPr>
          <w:b/>
          <w:noProof/>
          <w:sz w:val="24"/>
          <w:szCs w:val="24"/>
          <w:lang w:eastAsia="pl-PL"/>
        </w:rPr>
        <w:drawing>
          <wp:inline distT="0" distB="0" distL="0" distR="0">
            <wp:extent cx="5762625" cy="7845697"/>
            <wp:effectExtent l="0" t="0" r="3175" b="317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2F6D" w:rsidRDefault="003E2F6D" w:rsidP="003E2F6D">
      <w:pPr>
        <w:rPr>
          <w:sz w:val="20"/>
          <w:szCs w:val="24"/>
        </w:rPr>
      </w:pPr>
    </w:p>
    <w:p w:rsidR="003E2F6D" w:rsidRDefault="003E2F6D" w:rsidP="003E2F6D">
      <w:pPr>
        <w:rPr>
          <w:sz w:val="20"/>
          <w:szCs w:val="24"/>
        </w:rPr>
      </w:pPr>
    </w:p>
    <w:p w:rsidR="003E2F6D" w:rsidRPr="006663BF" w:rsidRDefault="003E2F6D" w:rsidP="003E2F6D">
      <w:pPr>
        <w:rPr>
          <w:sz w:val="20"/>
          <w:szCs w:val="24"/>
        </w:rPr>
      </w:pPr>
      <w:r w:rsidRPr="006663BF">
        <w:rPr>
          <w:sz w:val="20"/>
          <w:szCs w:val="24"/>
        </w:rPr>
        <w:t>Wykres 1</w:t>
      </w:r>
      <w:r>
        <w:rPr>
          <w:sz w:val="20"/>
          <w:szCs w:val="24"/>
        </w:rPr>
        <w:t>7</w:t>
      </w:r>
      <w:r w:rsidRPr="006663BF">
        <w:rPr>
          <w:sz w:val="20"/>
          <w:szCs w:val="24"/>
        </w:rPr>
        <w:t>. Ocena atrakcyjności oferty instytucji kultury</w:t>
      </w:r>
    </w:p>
    <w:p w:rsidR="003E2F6D" w:rsidRPr="00F00F00" w:rsidRDefault="003E2F6D" w:rsidP="003E2F6D">
      <w:pPr>
        <w:rPr>
          <w:b/>
          <w:sz w:val="24"/>
          <w:szCs w:val="24"/>
        </w:rPr>
      </w:pPr>
      <w:r w:rsidRPr="00F00F00">
        <w:rPr>
          <w:b/>
          <w:noProof/>
          <w:sz w:val="24"/>
          <w:szCs w:val="24"/>
          <w:lang w:eastAsia="pl-PL"/>
        </w:rPr>
        <w:drawing>
          <wp:inline distT="0" distB="0" distL="0" distR="0">
            <wp:extent cx="5924550" cy="4023995"/>
            <wp:effectExtent l="0" t="0" r="0" b="14605"/>
            <wp:docPr id="18"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F6D" w:rsidRDefault="003E2F6D" w:rsidP="003E2F6D">
      <w:pPr>
        <w:spacing w:after="240" w:line="240" w:lineRule="auto"/>
        <w:jc w:val="both"/>
        <w:rPr>
          <w:sz w:val="24"/>
          <w:szCs w:val="24"/>
        </w:rPr>
      </w:pPr>
      <w:r>
        <w:rPr>
          <w:sz w:val="24"/>
          <w:szCs w:val="24"/>
        </w:rPr>
        <w:t>N</w:t>
      </w:r>
      <w:r w:rsidRPr="006663BF">
        <w:rPr>
          <w:sz w:val="24"/>
          <w:szCs w:val="24"/>
        </w:rPr>
        <w:t xml:space="preserve">ajlepiej ocenianą instytucją kultury </w:t>
      </w:r>
      <w:r>
        <w:rPr>
          <w:sz w:val="24"/>
          <w:szCs w:val="24"/>
        </w:rPr>
        <w:t xml:space="preserve">jest Filharmonia, która uzyskała </w:t>
      </w:r>
      <w:r w:rsidRPr="006663BF">
        <w:rPr>
          <w:sz w:val="24"/>
          <w:szCs w:val="24"/>
        </w:rPr>
        <w:t>średni</w:t>
      </w:r>
      <w:r>
        <w:rPr>
          <w:sz w:val="24"/>
          <w:szCs w:val="24"/>
        </w:rPr>
        <w:t>ą</w:t>
      </w:r>
      <w:r w:rsidRPr="006663BF">
        <w:rPr>
          <w:sz w:val="24"/>
          <w:szCs w:val="24"/>
        </w:rPr>
        <w:t xml:space="preserve"> 4,3. W ocenie tej instytucji najwyraźniej uwidacznia się jednak dysproporcja pomiędzy oceną osób młodych (średnia 3,8) i starszych (średnia 4,6). Najgorzej oceniana jest oferta i atrakcyjność Muzeum w Koszalinie (średnia 3,8).</w:t>
      </w:r>
    </w:p>
    <w:p w:rsidR="003E2F6D" w:rsidRDefault="003E2F6D" w:rsidP="003E2F6D">
      <w:pPr>
        <w:spacing w:after="240" w:line="240" w:lineRule="auto"/>
        <w:jc w:val="both"/>
        <w:rPr>
          <w:sz w:val="24"/>
          <w:szCs w:val="24"/>
        </w:rPr>
      </w:pPr>
      <w:r>
        <w:rPr>
          <w:sz w:val="24"/>
          <w:szCs w:val="24"/>
        </w:rPr>
        <w:t>Co ciekawe, za najbardziej atrakcyjną instytucję uznawana jest Filharmonia, która odwiedzana jest przez mieszkańców najrzadziej lub wcale (79%), a za najmniej atrakcyjną – Muzeum w Koszalinie, które raz do roku albo częściej odwiedza największa liczba mieszkańców (43%) – por. Wykres 15.</w:t>
      </w:r>
    </w:p>
    <w:p w:rsidR="003E2F6D" w:rsidRPr="006663BF" w:rsidRDefault="003E2F6D" w:rsidP="003E2F6D">
      <w:pPr>
        <w:spacing w:after="240" w:line="240" w:lineRule="auto"/>
        <w:jc w:val="both"/>
        <w:rPr>
          <w:sz w:val="24"/>
          <w:szCs w:val="24"/>
        </w:rPr>
      </w:pPr>
      <w:r>
        <w:rPr>
          <w:sz w:val="24"/>
          <w:szCs w:val="24"/>
        </w:rPr>
        <w:t xml:space="preserve">Jednocześnie oceny pięciu miejskich instytucji pozostają na bardzo zbliżonym poziomie – pomiędzy 3,8 a 4,3 – co nie pozwala jednoznacznie powiedzieć, czy któraś z instytucji w sposób wyraźnych wyprzedza pozostałe. </w:t>
      </w:r>
    </w:p>
    <w:p w:rsidR="003E2F6D" w:rsidRDefault="003E2F6D" w:rsidP="003E2F6D">
      <w:pPr>
        <w:rPr>
          <w:b/>
          <w:sz w:val="24"/>
          <w:szCs w:val="24"/>
        </w:rPr>
      </w:pPr>
    </w:p>
    <w:p w:rsidR="003E2F6D" w:rsidRDefault="003E2F6D" w:rsidP="003E2F6D">
      <w:pPr>
        <w:rPr>
          <w:sz w:val="20"/>
          <w:szCs w:val="24"/>
        </w:rPr>
      </w:pPr>
    </w:p>
    <w:p w:rsidR="003E2F6D" w:rsidRDefault="003E2F6D" w:rsidP="003E2F6D">
      <w:pPr>
        <w:rPr>
          <w:sz w:val="20"/>
          <w:szCs w:val="24"/>
        </w:rPr>
      </w:pPr>
    </w:p>
    <w:p w:rsidR="003E2F6D" w:rsidRDefault="003E2F6D" w:rsidP="003E2F6D">
      <w:pPr>
        <w:rPr>
          <w:sz w:val="20"/>
          <w:szCs w:val="24"/>
        </w:rPr>
      </w:pPr>
    </w:p>
    <w:p w:rsidR="003E2F6D" w:rsidRDefault="003E2F6D" w:rsidP="003E2F6D">
      <w:pPr>
        <w:rPr>
          <w:sz w:val="20"/>
          <w:szCs w:val="24"/>
        </w:rPr>
      </w:pPr>
    </w:p>
    <w:p w:rsidR="003E2F6D" w:rsidRDefault="003E2F6D" w:rsidP="003E2F6D">
      <w:pPr>
        <w:rPr>
          <w:sz w:val="20"/>
          <w:szCs w:val="24"/>
        </w:rPr>
      </w:pPr>
    </w:p>
    <w:p w:rsidR="00333A45" w:rsidRPr="006663BF" w:rsidRDefault="003E2F6D" w:rsidP="003E2F6D">
      <w:pPr>
        <w:rPr>
          <w:sz w:val="20"/>
          <w:szCs w:val="24"/>
        </w:rPr>
      </w:pPr>
      <w:r>
        <w:rPr>
          <w:sz w:val="20"/>
          <w:szCs w:val="24"/>
        </w:rPr>
        <w:t>Wykres 18. Ocena atrakcyjności oferty z punktu widzenia wieku</w:t>
      </w:r>
    </w:p>
    <w:p w:rsidR="003E2F6D" w:rsidRDefault="003E2F6D" w:rsidP="003E2F6D">
      <w:pPr>
        <w:rPr>
          <w:b/>
          <w:sz w:val="24"/>
          <w:szCs w:val="24"/>
        </w:rPr>
      </w:pPr>
      <w:bookmarkStart w:id="0" w:name="_GoBack"/>
      <w:r w:rsidRPr="00F00F00">
        <w:rPr>
          <w:b/>
          <w:noProof/>
          <w:sz w:val="24"/>
          <w:szCs w:val="24"/>
          <w:lang w:eastAsia="pl-PL"/>
        </w:rPr>
        <w:drawing>
          <wp:inline distT="0" distB="0" distL="0" distR="0">
            <wp:extent cx="5760720" cy="3264989"/>
            <wp:effectExtent l="0" t="0" r="5080" b="12065"/>
            <wp:docPr id="20"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0"/>
    </w:p>
    <w:p w:rsidR="003E2F6D" w:rsidRDefault="003E2F6D" w:rsidP="003E2F6D">
      <w:pPr>
        <w:rPr>
          <w:b/>
          <w:sz w:val="24"/>
          <w:szCs w:val="24"/>
        </w:rPr>
      </w:pPr>
    </w:p>
    <w:p w:rsidR="003B4DF9" w:rsidRDefault="003E2F6D" w:rsidP="0000476A">
      <w:pPr>
        <w:rPr>
          <w:sz w:val="20"/>
          <w:szCs w:val="24"/>
        </w:rPr>
      </w:pPr>
      <w:r>
        <w:rPr>
          <w:sz w:val="20"/>
          <w:szCs w:val="24"/>
        </w:rPr>
        <w:t>Wykres 19. Ocena atrakcyjności oferty z punktu widzenia wykształcenia</w:t>
      </w:r>
      <w:r w:rsidRPr="001267CB">
        <w:rPr>
          <w:b/>
          <w:noProof/>
          <w:sz w:val="24"/>
          <w:szCs w:val="24"/>
          <w:lang w:eastAsia="pl-PL"/>
        </w:rPr>
        <w:drawing>
          <wp:inline distT="0" distB="0" distL="0" distR="0">
            <wp:extent cx="5760720" cy="3578555"/>
            <wp:effectExtent l="0" t="0" r="11430" b="3175"/>
            <wp:docPr id="2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B680E" w:rsidRDefault="00FB680E" w:rsidP="0000476A">
      <w:pPr>
        <w:rPr>
          <w:sz w:val="20"/>
          <w:szCs w:val="24"/>
        </w:rPr>
      </w:pPr>
    </w:p>
    <w:p w:rsidR="00FB680E" w:rsidRPr="0014308E" w:rsidRDefault="00FB680E" w:rsidP="0000476A">
      <w:pPr>
        <w:rPr>
          <w:sz w:val="28"/>
          <w:szCs w:val="24"/>
        </w:rPr>
      </w:pPr>
      <w:r w:rsidRPr="0014308E">
        <w:rPr>
          <w:sz w:val="28"/>
          <w:szCs w:val="24"/>
        </w:rPr>
        <w:t>Załącznik 1.</w:t>
      </w:r>
    </w:p>
    <w:p w:rsidR="00FB680E" w:rsidRDefault="00FB680E" w:rsidP="00FB680E">
      <w:pPr>
        <w:spacing w:after="0" w:line="240" w:lineRule="auto"/>
        <w:jc w:val="both"/>
        <w:rPr>
          <w:rFonts w:ascii="Times New Roman" w:hAnsi="Times New Roman" w:cs="Times New Roman"/>
          <w:b/>
          <w:sz w:val="28"/>
        </w:rPr>
      </w:pPr>
      <w:r>
        <w:rPr>
          <w:rFonts w:ascii="Times New Roman" w:hAnsi="Times New Roman" w:cs="Times New Roman"/>
          <w:b/>
          <w:sz w:val="28"/>
        </w:rPr>
        <w:t>Koszalin CATI – pytania</w:t>
      </w:r>
    </w:p>
    <w:p w:rsidR="00FB680E" w:rsidRDefault="00FB680E" w:rsidP="00FB680E">
      <w:pPr>
        <w:spacing w:after="0" w:line="240" w:lineRule="auto"/>
        <w:jc w:val="both"/>
        <w:rPr>
          <w:rFonts w:ascii="Times New Roman" w:hAnsi="Times New Roman" w:cs="Times New Roman"/>
          <w:b/>
          <w:sz w:val="24"/>
          <w:szCs w:val="24"/>
        </w:rPr>
      </w:pPr>
    </w:p>
    <w:tbl>
      <w:tblPr>
        <w:tblStyle w:val="Tabela-Siatka"/>
        <w:tblW w:w="4132" w:type="dxa"/>
        <w:tblInd w:w="-20" w:type="dxa"/>
        <w:tblCellMar>
          <w:left w:w="88" w:type="dxa"/>
        </w:tblCellMar>
        <w:tblLook w:val="04A0"/>
      </w:tblPr>
      <w:tblGrid>
        <w:gridCol w:w="4132"/>
      </w:tblGrid>
      <w:tr w:rsidR="00FB680E" w:rsidTr="000F0EFE">
        <w:trPr>
          <w:trHeight w:val="744"/>
        </w:trPr>
        <w:tc>
          <w:tcPr>
            <w:tcW w:w="4132" w:type="dxa"/>
            <w:shd w:val="clear" w:color="auto" w:fill="auto"/>
            <w:tcMar>
              <w:left w:w="88" w:type="dxa"/>
            </w:tcMar>
          </w:tcPr>
          <w:p w:rsidR="00FB680E" w:rsidRDefault="00FB680E" w:rsidP="000F0E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Metryczka</w:t>
            </w:r>
          </w:p>
          <w:p w:rsidR="00FB680E" w:rsidRDefault="00FB680E" w:rsidP="000F0EFE">
            <w:pPr>
              <w:spacing w:after="0" w:line="240" w:lineRule="auto"/>
              <w:jc w:val="both"/>
              <w:rPr>
                <w:rFonts w:ascii="Times New Roman" w:hAnsi="Times New Roman" w:cs="Times New Roman"/>
                <w:b/>
                <w:sz w:val="24"/>
                <w:szCs w:val="24"/>
              </w:rPr>
            </w:pPr>
          </w:p>
          <w:p w:rsidR="00FB680E" w:rsidRDefault="00FB680E" w:rsidP="000F0E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Płeć / wiek / wykształcenie</w:t>
            </w:r>
          </w:p>
        </w:tc>
      </w:tr>
    </w:tbl>
    <w:p w:rsidR="00FB680E" w:rsidRDefault="00FB680E" w:rsidP="00FB680E">
      <w:pPr>
        <w:spacing w:after="0" w:line="240" w:lineRule="auto"/>
        <w:jc w:val="both"/>
        <w:rPr>
          <w:rFonts w:ascii="Times New Roman" w:hAnsi="Times New Roman" w:cs="Times New Roman"/>
          <w:b/>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1. Czy można powiedzieć, że Koszalin jest miastem kultury?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A) Zdecydowanie tak</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 Raczej tak</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 Zdecydowanie nie</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D) Raczej nie</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E) Nie wiem / trudno powiedzieć</w:t>
      </w:r>
    </w:p>
    <w:p w:rsidR="00FB680E" w:rsidRDefault="00FB680E" w:rsidP="00FB680E">
      <w:pPr>
        <w:spacing w:after="0" w:line="240" w:lineRule="auto"/>
        <w:jc w:val="both"/>
        <w:rPr>
          <w:rFonts w:ascii="Times New Roman" w:hAnsi="Times New Roman" w:cs="Times New Roman"/>
          <w:sz w:val="24"/>
        </w:rPr>
      </w:pPr>
    </w:p>
    <w:p w:rsidR="00FB680E" w:rsidRP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2. Czy jest Pan/Pani usatysfakcjonowany/a dostępną ofertą kulturalną w mieście?</w:t>
      </w:r>
    </w:p>
    <w:p w:rsidR="00FB680E" w:rsidRDefault="00FB680E" w:rsidP="00FB680E">
      <w:pPr>
        <w:spacing w:after="0" w:line="240" w:lineRule="auto"/>
        <w:rPr>
          <w:rFonts w:ascii="Times New Roman" w:hAnsi="Times New Roman" w:cs="Times New Roman"/>
          <w:b/>
          <w:sz w:val="24"/>
        </w:rPr>
      </w:pPr>
      <w:r>
        <w:rPr>
          <w:rFonts w:ascii="Times New Roman" w:hAnsi="Times New Roman" w:cs="Times New Roman"/>
          <w:sz w:val="24"/>
        </w:rPr>
        <w:t>A) Zdecydowanie tak</w:t>
      </w:r>
    </w:p>
    <w:p w:rsidR="00FB680E" w:rsidRDefault="00FB680E" w:rsidP="00FB680E">
      <w:pPr>
        <w:spacing w:after="0" w:line="240" w:lineRule="auto"/>
        <w:rPr>
          <w:rFonts w:ascii="Times New Roman" w:hAnsi="Times New Roman" w:cs="Times New Roman"/>
          <w:b/>
          <w:sz w:val="24"/>
        </w:rPr>
      </w:pPr>
      <w:r>
        <w:rPr>
          <w:rFonts w:ascii="Times New Roman" w:hAnsi="Times New Roman" w:cs="Times New Roman"/>
          <w:sz w:val="24"/>
        </w:rPr>
        <w:t>B) Raczej tak</w:t>
      </w:r>
    </w:p>
    <w:p w:rsidR="00FB680E" w:rsidRDefault="00FB680E" w:rsidP="00FB680E">
      <w:pPr>
        <w:spacing w:after="0" w:line="240" w:lineRule="auto"/>
        <w:rPr>
          <w:rFonts w:ascii="Times New Roman" w:hAnsi="Times New Roman" w:cs="Times New Roman"/>
          <w:b/>
          <w:sz w:val="24"/>
        </w:rPr>
      </w:pPr>
      <w:r>
        <w:rPr>
          <w:rFonts w:ascii="Times New Roman" w:hAnsi="Times New Roman" w:cs="Times New Roman"/>
          <w:sz w:val="24"/>
        </w:rPr>
        <w:t>C) Ani tak, ani nie</w:t>
      </w:r>
    </w:p>
    <w:p w:rsidR="00FB680E" w:rsidRDefault="00FB680E" w:rsidP="00FB680E">
      <w:pPr>
        <w:spacing w:after="0" w:line="240" w:lineRule="auto"/>
        <w:rPr>
          <w:rFonts w:ascii="Times New Roman" w:hAnsi="Times New Roman" w:cs="Times New Roman"/>
          <w:b/>
          <w:sz w:val="24"/>
        </w:rPr>
      </w:pPr>
      <w:r>
        <w:rPr>
          <w:rFonts w:ascii="Times New Roman" w:hAnsi="Times New Roman" w:cs="Times New Roman"/>
          <w:sz w:val="24"/>
        </w:rPr>
        <w:t>D) Raczej nie</w:t>
      </w:r>
    </w:p>
    <w:p w:rsidR="00FB680E" w:rsidRDefault="00FB680E" w:rsidP="00FB680E">
      <w:pPr>
        <w:spacing w:after="0" w:line="240" w:lineRule="auto"/>
        <w:rPr>
          <w:rFonts w:ascii="Times New Roman" w:hAnsi="Times New Roman" w:cs="Times New Roman"/>
          <w:sz w:val="24"/>
        </w:rPr>
      </w:pPr>
      <w:r>
        <w:rPr>
          <w:rFonts w:ascii="Times New Roman" w:hAnsi="Times New Roman" w:cs="Times New Roman"/>
          <w:sz w:val="24"/>
        </w:rPr>
        <w:t>E) Zdecydowanie nie</w:t>
      </w:r>
    </w:p>
    <w:p w:rsidR="00FB680E" w:rsidRDefault="00FB680E" w:rsidP="00FB680E">
      <w:pPr>
        <w:spacing w:after="0" w:line="240" w:lineRule="auto"/>
        <w:rPr>
          <w:rFonts w:ascii="Times New Roman" w:hAnsi="Times New Roman" w:cs="Times New Roman"/>
          <w:sz w:val="24"/>
        </w:rPr>
      </w:pPr>
    </w:p>
    <w:p w:rsidR="00FB680E" w:rsidRDefault="00FB680E" w:rsidP="00FB680E">
      <w:pPr>
        <w:spacing w:after="0" w:line="240" w:lineRule="auto"/>
        <w:rPr>
          <w:rFonts w:ascii="Times New Roman" w:hAnsi="Times New Roman" w:cs="Times New Roman"/>
          <w:sz w:val="24"/>
        </w:rPr>
      </w:pPr>
      <w:r>
        <w:rPr>
          <w:rFonts w:ascii="Times New Roman" w:hAnsi="Times New Roman" w:cs="Times New Roman"/>
          <w:sz w:val="24"/>
        </w:rPr>
        <w:t xml:space="preserve">[DODATKOWO DOPYTAĆ: </w:t>
      </w:r>
    </w:p>
    <w:p w:rsidR="00FB680E" w:rsidRDefault="00FB680E" w:rsidP="00FB680E">
      <w:pPr>
        <w:spacing w:after="0" w:line="240" w:lineRule="auto"/>
        <w:rPr>
          <w:rFonts w:ascii="Times New Roman" w:hAnsi="Times New Roman" w:cs="Times New Roman"/>
          <w:sz w:val="24"/>
        </w:rPr>
      </w:pPr>
      <w:r>
        <w:rPr>
          <w:rFonts w:ascii="Times New Roman" w:hAnsi="Times New Roman" w:cs="Times New Roman"/>
          <w:sz w:val="24"/>
        </w:rPr>
        <w:t xml:space="preserve">Przy odp. A, B – Co ma wpływ na pozytywną ocenę? </w:t>
      </w:r>
    </w:p>
    <w:p w:rsidR="00FB680E" w:rsidRDefault="00FB680E" w:rsidP="00FB680E">
      <w:pPr>
        <w:spacing w:after="0" w:line="240" w:lineRule="auto"/>
        <w:rPr>
          <w:rFonts w:ascii="Times New Roman" w:hAnsi="Times New Roman" w:cs="Times New Roman"/>
          <w:sz w:val="24"/>
        </w:rPr>
      </w:pPr>
      <w:r>
        <w:rPr>
          <w:rFonts w:ascii="Times New Roman" w:hAnsi="Times New Roman" w:cs="Times New Roman"/>
          <w:sz w:val="24"/>
        </w:rPr>
        <w:t>Przy odp. C, D i E – Czego brakuje Panu/Pani w ofercie kulturalnej?]</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3. Jak na tle kraju ocenia Pan/Pani swoje miasto, jeśli chodzi o siłę środowiska kulturalnego i poziom instytucji kultury?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A) Powyżej przeciętnej</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 Poniżej przeciętnej</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 Mniej więcej na poziomie „średniej krajowej”</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D) Nie wiem / trudno powiedzieć</w:t>
      </w:r>
    </w:p>
    <w:p w:rsidR="00FB680E" w:rsidRDefault="00FB680E" w:rsidP="00FB680E">
      <w:pPr>
        <w:spacing w:after="0" w:line="240" w:lineRule="auto"/>
        <w:jc w:val="both"/>
        <w:rPr>
          <w:rFonts w:ascii="Times New Roman" w:hAnsi="Times New Roman" w:cs="Times New Roman"/>
          <w:sz w:val="24"/>
        </w:rPr>
      </w:pPr>
    </w:p>
    <w:p w:rsidR="00FB680E" w:rsidRP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4. Jakie wydarzenia kulturalne w Koszalinie uznałby Pan/Pani za wizytówkę miasta?</w:t>
      </w:r>
    </w:p>
    <w:p w:rsidR="00FB680E" w:rsidRDefault="00FB680E" w:rsidP="00FB6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[KAFETERIA: </w:t>
      </w:r>
    </w:p>
    <w:p w:rsidR="00FB680E" w:rsidRDefault="00FB680E" w:rsidP="00FB680E">
      <w:pPr>
        <w:spacing w:after="0" w:line="240" w:lineRule="auto"/>
        <w:jc w:val="both"/>
      </w:pPr>
      <w:r>
        <w:rPr>
          <w:rFonts w:ascii="Times New Roman" w:hAnsi="Times New Roman" w:cs="Times New Roman"/>
          <w:sz w:val="24"/>
          <w:szCs w:val="24"/>
        </w:rPr>
        <w:t>Europejski Festiwal Filmowy „Integracja Ty i Ja”</w:t>
      </w:r>
    </w:p>
    <w:p w:rsidR="00FB680E" w:rsidRDefault="00FB680E" w:rsidP="00FB680E">
      <w:pPr>
        <w:spacing w:after="0" w:line="240" w:lineRule="auto"/>
        <w:jc w:val="both"/>
      </w:pPr>
      <w:r>
        <w:rPr>
          <w:rFonts w:ascii="Times New Roman" w:hAnsi="Times New Roman" w:cs="Times New Roman"/>
          <w:sz w:val="24"/>
          <w:szCs w:val="24"/>
        </w:rPr>
        <w:t>Festiwal Debiutów Filmowych „Młodzi i Film”</w:t>
      </w:r>
    </w:p>
    <w:p w:rsidR="00FB680E" w:rsidRDefault="00FB680E" w:rsidP="00FB680E">
      <w:pPr>
        <w:spacing w:after="0" w:line="240" w:lineRule="auto"/>
        <w:jc w:val="both"/>
      </w:pPr>
      <w:r>
        <w:rPr>
          <w:rFonts w:ascii="Times New Roman" w:hAnsi="Times New Roman" w:cs="Times New Roman"/>
          <w:color w:val="00000A"/>
          <w:sz w:val="24"/>
          <w:szCs w:val="24"/>
        </w:rPr>
        <w:t>Festiwal na Fali</w:t>
      </w:r>
    </w:p>
    <w:p w:rsidR="00FB680E" w:rsidRDefault="00FB680E" w:rsidP="00FB680E">
      <w:pPr>
        <w:spacing w:after="0" w:line="240" w:lineRule="auto"/>
        <w:jc w:val="both"/>
      </w:pPr>
      <w:r>
        <w:rPr>
          <w:rFonts w:ascii="Times New Roman" w:hAnsi="Times New Roman" w:cs="Times New Roman"/>
          <w:color w:val="00000A"/>
          <w:sz w:val="24"/>
          <w:szCs w:val="24"/>
        </w:rPr>
        <w:t>Festiwal Rockowy Generacja</w:t>
      </w:r>
    </w:p>
    <w:p w:rsidR="00FB680E" w:rsidRPr="00E5368C" w:rsidRDefault="00FB680E" w:rsidP="00FB680E">
      <w:pPr>
        <w:spacing w:after="0" w:line="240" w:lineRule="auto"/>
        <w:jc w:val="both"/>
        <w:rPr>
          <w:lang w:val="en-US"/>
        </w:rPr>
      </w:pPr>
      <w:r w:rsidRPr="00E5368C">
        <w:rPr>
          <w:rFonts w:ascii="Times New Roman" w:hAnsi="Times New Roman" w:cs="Times New Roman"/>
          <w:color w:val="00000A"/>
          <w:sz w:val="24"/>
          <w:szCs w:val="24"/>
          <w:lang w:val="en-US"/>
        </w:rPr>
        <w:t>Good Vibe Festival</w:t>
      </w:r>
    </w:p>
    <w:p w:rsidR="00FB680E" w:rsidRPr="00E5368C" w:rsidRDefault="00FB680E" w:rsidP="00FB680E">
      <w:pPr>
        <w:spacing w:after="0" w:line="240" w:lineRule="auto"/>
        <w:jc w:val="both"/>
        <w:rPr>
          <w:lang w:val="en-US"/>
        </w:rPr>
      </w:pPr>
      <w:proofErr w:type="spellStart"/>
      <w:r w:rsidRPr="00E5368C">
        <w:rPr>
          <w:rFonts w:ascii="Times New Roman" w:hAnsi="Times New Roman" w:cs="Times New Roman"/>
          <w:sz w:val="24"/>
          <w:szCs w:val="24"/>
          <w:lang w:val="en-US"/>
        </w:rPr>
        <w:t>Hanza</w:t>
      </w:r>
      <w:proofErr w:type="spellEnd"/>
      <w:r w:rsidRPr="00E5368C">
        <w:rPr>
          <w:rFonts w:ascii="Times New Roman" w:hAnsi="Times New Roman" w:cs="Times New Roman"/>
          <w:sz w:val="24"/>
          <w:szCs w:val="24"/>
          <w:lang w:val="en-US"/>
        </w:rPr>
        <w:t xml:space="preserve"> Jazz Festival</w:t>
      </w:r>
    </w:p>
    <w:p w:rsidR="00FB680E" w:rsidRDefault="00FB680E" w:rsidP="00FB680E">
      <w:pPr>
        <w:spacing w:after="0" w:line="240" w:lineRule="auto"/>
        <w:jc w:val="both"/>
      </w:pPr>
      <w:r>
        <w:rPr>
          <w:rFonts w:ascii="Times New Roman" w:hAnsi="Times New Roman" w:cs="Times New Roman"/>
          <w:sz w:val="24"/>
          <w:szCs w:val="24"/>
        </w:rPr>
        <w:t>Koszalińskie Konfrontacje Młodych M-Teatr</w:t>
      </w:r>
    </w:p>
    <w:p w:rsidR="00FB680E" w:rsidRDefault="00FB680E" w:rsidP="00FB680E">
      <w:pPr>
        <w:spacing w:after="0" w:line="240" w:lineRule="auto"/>
        <w:jc w:val="both"/>
      </w:pPr>
      <w:r>
        <w:rPr>
          <w:rFonts w:ascii="Times New Roman" w:hAnsi="Times New Roman" w:cs="Times New Roman"/>
          <w:color w:val="00000A"/>
          <w:sz w:val="24"/>
          <w:szCs w:val="24"/>
        </w:rPr>
        <w:t>Koszalińskie Ogólnopolskie Dni Monodramu – Debiuty – „Strzała Północy"</w:t>
      </w:r>
    </w:p>
    <w:p w:rsidR="00FB680E" w:rsidRDefault="00FB680E" w:rsidP="00FB680E">
      <w:pPr>
        <w:spacing w:after="0" w:line="240" w:lineRule="auto"/>
        <w:jc w:val="both"/>
      </w:pPr>
      <w:r>
        <w:rPr>
          <w:rFonts w:ascii="Times New Roman" w:hAnsi="Times New Roman" w:cs="Times New Roman"/>
          <w:color w:val="00000A"/>
          <w:sz w:val="24"/>
          <w:szCs w:val="24"/>
        </w:rPr>
        <w:t xml:space="preserve">Koszalińskie Targi Sztuki i </w:t>
      </w:r>
      <w:proofErr w:type="spellStart"/>
      <w:r>
        <w:rPr>
          <w:rFonts w:ascii="Times New Roman" w:hAnsi="Times New Roman" w:cs="Times New Roman"/>
          <w:color w:val="00000A"/>
          <w:sz w:val="24"/>
          <w:szCs w:val="24"/>
        </w:rPr>
        <w:t>Dizajnu</w:t>
      </w:r>
      <w:proofErr w:type="spellEnd"/>
    </w:p>
    <w:p w:rsidR="00FB680E" w:rsidRDefault="00FB680E" w:rsidP="00FB680E">
      <w:pPr>
        <w:spacing w:after="0" w:line="240" w:lineRule="auto"/>
        <w:jc w:val="both"/>
      </w:pPr>
      <w:r>
        <w:rPr>
          <w:rFonts w:ascii="Times New Roman" w:hAnsi="Times New Roman" w:cs="Times New Roman"/>
          <w:sz w:val="24"/>
          <w:szCs w:val="24"/>
        </w:rPr>
        <w:t>Letni Festiwal Kabaretu „Kabareton”</w:t>
      </w:r>
    </w:p>
    <w:p w:rsidR="00FB680E" w:rsidRDefault="00FB680E" w:rsidP="00FB680E">
      <w:pPr>
        <w:spacing w:after="0" w:line="240" w:lineRule="auto"/>
        <w:jc w:val="both"/>
      </w:pPr>
      <w:r>
        <w:rPr>
          <w:rFonts w:ascii="Times New Roman" w:hAnsi="Times New Roman" w:cs="Times New Roman"/>
          <w:sz w:val="24"/>
          <w:szCs w:val="24"/>
        </w:rPr>
        <w:lastRenderedPageBreak/>
        <w:t>Międzynarodowy Festiwal Filmów Dokumentalnych o Włodzimierzu Wysockim „Pasje wg św. Włodzimierza”</w:t>
      </w:r>
    </w:p>
    <w:p w:rsidR="00FB680E" w:rsidRDefault="00FB680E" w:rsidP="00FB680E">
      <w:pPr>
        <w:spacing w:after="0" w:line="240" w:lineRule="auto"/>
        <w:jc w:val="both"/>
      </w:pPr>
      <w:r>
        <w:rPr>
          <w:rFonts w:ascii="Times New Roman" w:hAnsi="Times New Roman" w:cs="Times New Roman"/>
          <w:sz w:val="24"/>
          <w:szCs w:val="24"/>
        </w:rPr>
        <w:t>Międzynarodowy Festiwal Organowy</w:t>
      </w:r>
    </w:p>
    <w:p w:rsidR="00FB680E" w:rsidRDefault="00FB680E" w:rsidP="00FB680E">
      <w:pPr>
        <w:spacing w:after="0" w:line="240" w:lineRule="auto"/>
        <w:jc w:val="both"/>
      </w:pPr>
      <w:r>
        <w:rPr>
          <w:rFonts w:ascii="Times New Roman" w:hAnsi="Times New Roman" w:cs="Times New Roman"/>
          <w:sz w:val="24"/>
          <w:szCs w:val="24"/>
        </w:rPr>
        <w:t>Ogólnopolski Festiwal Piosenki Aktorskiej „Reflektor”</w:t>
      </w:r>
    </w:p>
    <w:p w:rsidR="00FB680E" w:rsidRDefault="00FB680E" w:rsidP="00FB680E">
      <w:pPr>
        <w:spacing w:after="0" w:line="240" w:lineRule="auto"/>
        <w:jc w:val="both"/>
      </w:pPr>
      <w:r>
        <w:rPr>
          <w:rFonts w:ascii="Times New Roman" w:hAnsi="Times New Roman" w:cs="Times New Roman"/>
          <w:sz w:val="24"/>
          <w:szCs w:val="24"/>
        </w:rPr>
        <w:t>inne (jakie?)]</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 xml:space="preserve">5. Jakie było najciekawsze wydarzenie kulturalne w mieście, w którym uczestniczył(a) Pan(i) w przeciągu ostatnich kilku miesięcy? </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PYTANIE OTWARTE [nazwa wydarzenia, miesiąc]</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6. Skąd czerpie Pan/Pani informację o ofercie kulturalnej?</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A) Internet</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 Facebook</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 Prasa lokalna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D) Radio</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E) Telewizja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F) Informator kulturalny „Trendy”</w:t>
      </w:r>
    </w:p>
    <w:p w:rsidR="00FB680E" w:rsidRDefault="00FB680E" w:rsidP="00FB680E">
      <w:pPr>
        <w:spacing w:after="0" w:line="240" w:lineRule="auto"/>
        <w:jc w:val="both"/>
      </w:pPr>
      <w:r>
        <w:rPr>
          <w:rFonts w:ascii="Times New Roman" w:hAnsi="Times New Roman" w:cs="Times New Roman"/>
          <w:sz w:val="24"/>
        </w:rPr>
        <w:t xml:space="preserve">G) Ulotki, plakaty </w:t>
      </w:r>
    </w:p>
    <w:p w:rsidR="00FB680E" w:rsidRDefault="00FB680E" w:rsidP="00FB680E">
      <w:pPr>
        <w:spacing w:after="0" w:line="240" w:lineRule="auto"/>
        <w:jc w:val="both"/>
      </w:pPr>
      <w:r>
        <w:rPr>
          <w:rFonts w:ascii="Times New Roman" w:hAnsi="Times New Roman" w:cs="Times New Roman"/>
          <w:sz w:val="24"/>
        </w:rPr>
        <w:t>H) poczta „pantoflowa”</w:t>
      </w:r>
    </w:p>
    <w:p w:rsidR="00FB680E" w:rsidRPr="00FB680E" w:rsidRDefault="00FB680E" w:rsidP="00FB680E">
      <w:pPr>
        <w:spacing w:after="0" w:line="240" w:lineRule="auto"/>
        <w:jc w:val="both"/>
      </w:pPr>
      <w:r>
        <w:rPr>
          <w:rFonts w:ascii="Times New Roman" w:hAnsi="Times New Roman" w:cs="Times New Roman"/>
          <w:sz w:val="24"/>
        </w:rPr>
        <w:t>I) Inne – jakie?</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7. Czy kiedykolwiek odwiedzał(a) Pan/Pani lub uczestniczył(a) w wydarzeniach organizowanych przez następujące instytucje kultury?  Jeśli TAK, to jak często uczestniczy Pan/Pani w wydarzeniach organizowanych przez następujące instytucje kultury?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A) Bałtycki Teatr Dramatyczny im. Juliusza Słowackiego</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 Centrum Kultury 105 w Koszalinie</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 Filharmonia Koszalińska im. Stanisława Moniuszki</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D) Koszalińska Biblioteka Publiczna im. Joachima Lelewela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E) Muzeum w Koszalinie</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 xml:space="preserve">[KAFETERIA: </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Nigdy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Raz do roku</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Kilka razy w roku</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Raz na kilka miesięcy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Co najmniej raz w miesiącu</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Kilka razy w miesiącu</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Raz w tygodniu albo częściej]</w:t>
      </w:r>
    </w:p>
    <w:p w:rsidR="00FB680E" w:rsidRDefault="00FB680E" w:rsidP="00FB680E">
      <w:pPr>
        <w:spacing w:after="0" w:line="240" w:lineRule="auto"/>
        <w:jc w:val="both"/>
        <w:rPr>
          <w:rFonts w:ascii="Times New Roman" w:hAnsi="Times New Roman" w:cs="Times New Roman"/>
          <w:sz w:val="24"/>
        </w:rPr>
      </w:pP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t>8. Proszę ocenić następujące instytucje kultury w skali od 1 do 5, biorąc pod uwagę atrakcyjność ich oferty (gdzie 1 to ocena najniższa, 5 to ocena najwyższa).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A) Bałtycki Teatr Dramatyczny im. Juliusza Słowackiego</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 Centrum Kultury 105 w Koszalinie</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C) Filharmonia Koszalińska im. Stanisława Moniuszki</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D) Koszalińska Biblioteka Publiczna im. Joachima Lelewela</w:t>
      </w:r>
    </w:p>
    <w:p w:rsid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sz w:val="24"/>
        </w:rPr>
        <w:t>E) Muzeum w Koszalinie</w:t>
      </w:r>
    </w:p>
    <w:p w:rsidR="00FB680E" w:rsidRDefault="00FB680E" w:rsidP="00FB680E">
      <w:pPr>
        <w:spacing w:after="0" w:line="240" w:lineRule="auto"/>
        <w:jc w:val="both"/>
        <w:rPr>
          <w:rFonts w:ascii="Times New Roman" w:hAnsi="Times New Roman" w:cs="Times New Roman"/>
          <w:sz w:val="24"/>
        </w:rPr>
      </w:pPr>
    </w:p>
    <w:p w:rsidR="00FB680E" w:rsidRPr="00FB680E" w:rsidRDefault="00FB680E" w:rsidP="00FB680E">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9. Dlaczego nie korzysta Pan/Pani częściej niż obecnie z wydarzeń kulturalnych w mieście? Proszę wskazać maksymalnie 3 najważniejsze przyczyny.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[KAFETERIA: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Brak czasu</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Brak informacji o tym co dzieje się w mieście</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Koszt związany z uczestnictwem</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 xml:space="preserve">Wolę spędzać czas w domu </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Brak zainteresowania ofertą</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Stan zdrowia / wiek</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Odległość od miejsca zamieszkania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Niski poziom artystyczny</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Powtarzalność wydarzeń</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Sytuacja życiowa / rodzinna</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Spędzam czas poza miastem</w:t>
      </w:r>
    </w:p>
    <w:p w:rsidR="00FB680E" w:rsidRDefault="00FB680E" w:rsidP="00FB680E">
      <w:pPr>
        <w:spacing w:after="0" w:line="240" w:lineRule="auto"/>
        <w:jc w:val="both"/>
        <w:rPr>
          <w:rFonts w:ascii="Times New Roman" w:hAnsi="Times New Roman" w:cs="Times New Roman"/>
          <w:sz w:val="24"/>
        </w:rPr>
      </w:pPr>
      <w:r>
        <w:rPr>
          <w:rFonts w:ascii="Times New Roman" w:hAnsi="Times New Roman" w:cs="Times New Roman"/>
          <w:sz w:val="24"/>
        </w:rPr>
        <w:t>Zbyt mało wydarzeń</w:t>
      </w:r>
    </w:p>
    <w:p w:rsidR="00FB680E" w:rsidRDefault="00FB680E" w:rsidP="00FB680E">
      <w:pPr>
        <w:spacing w:after="0" w:line="240" w:lineRule="auto"/>
        <w:jc w:val="both"/>
      </w:pPr>
      <w:r>
        <w:rPr>
          <w:rFonts w:ascii="Times New Roman" w:hAnsi="Times New Roman" w:cs="Times New Roman"/>
          <w:sz w:val="24"/>
        </w:rPr>
        <w:t>Inne]</w:t>
      </w:r>
    </w:p>
    <w:p w:rsidR="00FB680E" w:rsidRDefault="00FB680E" w:rsidP="00FB680E">
      <w:pPr>
        <w:spacing w:after="0" w:line="240" w:lineRule="auto"/>
        <w:jc w:val="both"/>
        <w:rPr>
          <w:rFonts w:ascii="Times New Roman" w:hAnsi="Times New Roman" w:cs="Times New Roman"/>
          <w:sz w:val="24"/>
        </w:rPr>
      </w:pPr>
    </w:p>
    <w:p w:rsidR="00FB680E" w:rsidRDefault="00FB680E" w:rsidP="00FB680E"/>
    <w:p w:rsidR="00FB680E" w:rsidRPr="00F930D9" w:rsidRDefault="00FB680E" w:rsidP="0000476A">
      <w:pPr>
        <w:rPr>
          <w:sz w:val="24"/>
          <w:szCs w:val="24"/>
        </w:rPr>
      </w:pPr>
    </w:p>
    <w:sectPr w:rsidR="00FB680E" w:rsidRPr="00F930D9" w:rsidSect="003E2F6D">
      <w:headerReference w:type="default" r:id="rId29"/>
      <w:footerReference w:type="default" r:id="rId30"/>
      <w:headerReference w:type="first" r:id="rId31"/>
      <w:footerReference w:type="first" r:id="rId32"/>
      <w:pgSz w:w="11906" w:h="16838"/>
      <w:pgMar w:top="1417" w:right="1417" w:bottom="19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032" w:rsidRDefault="00DB5032" w:rsidP="00307189">
      <w:pPr>
        <w:spacing w:after="0" w:line="240" w:lineRule="auto"/>
      </w:pPr>
      <w:r>
        <w:separator/>
      </w:r>
    </w:p>
  </w:endnote>
  <w:endnote w:type="continuationSeparator" w:id="0">
    <w:p w:rsidR="00DB5032" w:rsidRDefault="00DB5032" w:rsidP="00307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CE">
    <w:altName w:val="Times New Roman"/>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24509"/>
      <w:docPartObj>
        <w:docPartGallery w:val="Page Numbers (Bottom of Page)"/>
        <w:docPartUnique/>
      </w:docPartObj>
    </w:sdtPr>
    <w:sdtContent>
      <w:p w:rsidR="003E2F6D" w:rsidRDefault="003D1F95">
        <w:pPr>
          <w:pStyle w:val="Stopka"/>
          <w:jc w:val="center"/>
        </w:pPr>
        <w:r>
          <w:fldChar w:fldCharType="begin"/>
        </w:r>
        <w:r w:rsidR="003E2F6D">
          <w:instrText>PAGE   \* MERGEFORMAT</w:instrText>
        </w:r>
        <w:r>
          <w:fldChar w:fldCharType="separate"/>
        </w:r>
        <w:r w:rsidR="00AC5429">
          <w:rPr>
            <w:noProof/>
          </w:rPr>
          <w:t>23</w:t>
        </w:r>
        <w:r>
          <w:fldChar w:fldCharType="end"/>
        </w:r>
      </w:p>
    </w:sdtContent>
  </w:sdt>
  <w:p w:rsidR="003E2F6D" w:rsidRDefault="003E2F6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64" w:rsidRDefault="003D1F95">
    <w:pPr>
      <w:pStyle w:val="Stopka"/>
    </w:pPr>
    <w:r>
      <w:rPr>
        <w:noProof/>
        <w:lang w:eastAsia="pl-PL"/>
      </w:rPr>
      <w:pict>
        <v:line id="Łącznik prosty 3" o:spid="_x0000_s4099" style="position:absolute;z-index:251668480;visibility:visible" from="-4.05pt,-27.8pt" to="436.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" strokecolor="#00afee" strokeweight=".5pt">
          <v:stroke joinstyle="miter"/>
        </v:line>
      </w:pict>
    </w:r>
    <w:r>
      <w:rPr>
        <w:noProof/>
        <w:lang w:eastAsia="pl-PL"/>
      </w:rPr>
      <w:pict>
        <v:shapetype id="_x0000_t202" coordsize="21600,21600" o:spt="202" path="m,l,21600r21600,l21600,xe">
          <v:stroke joinstyle="miter"/>
          <v:path gradientshapeok="t" o:connecttype="rect"/>
        </v:shapetype>
        <v:shape id="Pole tekstowe 2" o:spid="_x0000_s4098" type="#_x0000_t202" style="position:absolute;margin-left:77pt;margin-top:-27.95pt;width:378pt;height: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" filled="f" stroked="f">
          <v:textbox>
            <w:txbxContent>
              <w:p w:rsidR="00D53F64" w:rsidRDefault="00D53F64" w:rsidP="00D53F64">
                <w:r>
                  <w:t xml:space="preserve">DNA Miasta jest programem Fundacji </w:t>
                </w:r>
                <w:proofErr w:type="spellStart"/>
                <w:r>
                  <w:t>Res</w:t>
                </w:r>
                <w:proofErr w:type="spellEnd"/>
                <w:r>
                  <w:t xml:space="preserve"> </w:t>
                </w:r>
                <w:proofErr w:type="spellStart"/>
                <w:r>
                  <w:t>Publica</w:t>
                </w:r>
                <w:proofErr w:type="spellEnd"/>
                <w:r>
                  <w:t xml:space="preserve"> im. Henryka </w:t>
                </w:r>
                <w:proofErr w:type="spellStart"/>
                <w:r>
                  <w:t>Krzeczkowskiego</w:t>
                </w:r>
                <w:proofErr w:type="spellEnd"/>
                <w:r>
                  <w:t xml:space="preserve"> ul. Gałczyńskiego 5, 00-362 Wars</w:t>
                </w:r>
                <w:r w:rsidR="00C32FC3">
                  <w:t xml:space="preserve">zawa / tel. +48 22 692 47 84 / </w:t>
                </w:r>
              </w:p>
            </w:txbxContent>
          </v:textbox>
        </v:shape>
      </w:pict>
    </w:r>
    <w:r>
      <w:rPr>
        <w:noProof/>
        <w:lang w:eastAsia="pl-PL"/>
      </w:rPr>
      <w:pict>
        <v:rect id="Prostokąt 1" o:spid="_x0000_s4097" style="position:absolute;margin-left:-70.85pt;margin-top:-26.9pt;width:148.05pt;height:16.55pt;z-index:251665408;visibility:visible;mso-width-relative:margin;mso-height-relative:margin;v-text-anchor:middle" wrapcoords="-110 -982 -110 20618 21710 20618 21710 -982 -110 -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" fillcolor="#00afee" strokecolor="#00afee" strokeweight="1pt">
          <w10:wrap type="through"/>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032" w:rsidRDefault="00DB5032" w:rsidP="00307189">
      <w:pPr>
        <w:spacing w:after="0" w:line="240" w:lineRule="auto"/>
      </w:pPr>
      <w:r>
        <w:separator/>
      </w:r>
    </w:p>
  </w:footnote>
  <w:footnote w:type="continuationSeparator" w:id="0">
    <w:p w:rsidR="00DB5032" w:rsidRDefault="00DB5032" w:rsidP="00307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8A" w:rsidRDefault="007B3F8A" w:rsidP="00382127">
    <w:pPr>
      <w:pStyle w:val="Nagwek"/>
      <w:tabs>
        <w:tab w:val="left" w:pos="4820"/>
      </w:tabs>
    </w:pPr>
    <w:r>
      <w:rPr>
        <w:noProof/>
        <w:lang w:eastAsia="pl-PL"/>
      </w:rPr>
      <w:drawing>
        <wp:anchor distT="0" distB="0" distL="114300" distR="114300" simplePos="0" relativeHeight="251670528" behindDoc="0" locked="0" layoutInCell="1" allowOverlap="1">
          <wp:simplePos x="0" y="0"/>
          <wp:positionH relativeFrom="page">
            <wp:posOffset>5762625</wp:posOffset>
          </wp:positionH>
          <wp:positionV relativeFrom="paragraph">
            <wp:posOffset>-446405</wp:posOffset>
          </wp:positionV>
          <wp:extent cx="1902460" cy="895350"/>
          <wp:effectExtent l="0" t="0" r="2540" b="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90"/>
                  <a:stretch/>
                </pic:blipFill>
                <pic:spPr bwMode="auto">
                  <a:xfrm>
                    <a:off x="0" y="0"/>
                    <a:ext cx="1902460" cy="8953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a:ext>
                  </a:extLst>
                </pic:spPr>
              </pic:pic>
            </a:graphicData>
          </a:graphic>
        </wp:anchor>
      </w:drawing>
    </w:r>
  </w:p>
  <w:p w:rsidR="007B3F8A" w:rsidRDefault="007B3F8A" w:rsidP="00382127">
    <w:pPr>
      <w:pStyle w:val="Nagwek"/>
      <w:tabs>
        <w:tab w:val="left" w:pos="4820"/>
      </w:tabs>
    </w:pPr>
  </w:p>
  <w:p w:rsidR="00C32FC3" w:rsidRDefault="00C32FC3" w:rsidP="00382127">
    <w:pPr>
      <w:pStyle w:val="Nagwek"/>
      <w:tabs>
        <w:tab w:val="left" w:pos="48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64" w:rsidRDefault="00D53F64">
    <w:pPr>
      <w:pStyle w:val="Nagwek"/>
    </w:pPr>
    <w:r>
      <w:rPr>
        <w:noProof/>
        <w:lang w:eastAsia="pl-PL"/>
      </w:rPr>
      <w:drawing>
        <wp:anchor distT="0" distB="0" distL="114300" distR="114300" simplePos="0" relativeHeight="251663360" behindDoc="0" locked="0" layoutInCell="1" allowOverlap="1">
          <wp:simplePos x="0" y="0"/>
          <wp:positionH relativeFrom="column">
            <wp:posOffset>3265170</wp:posOffset>
          </wp:positionH>
          <wp:positionV relativeFrom="paragraph">
            <wp:posOffset>-565150</wp:posOffset>
          </wp:positionV>
          <wp:extent cx="3369310" cy="1585595"/>
          <wp:effectExtent l="0" t="0" r="8890" b="0"/>
          <wp:wrapSquare wrapText="bothSides"/>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90"/>
                  <a:stretch/>
                </pic:blipFill>
                <pic:spPr bwMode="auto">
                  <a:xfrm>
                    <a:off x="0" y="0"/>
                    <a:ext cx="3369310" cy="158559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a:ext>
                  </a:extLst>
                </pic:spPr>
              </pic:pic>
            </a:graphicData>
          </a:graphic>
        </wp:anchor>
      </w:drawing>
    </w:r>
  </w:p>
  <w:p w:rsidR="00D53F64" w:rsidRDefault="00D53F64">
    <w:pPr>
      <w:pStyle w:val="Nagwek"/>
    </w:pPr>
  </w:p>
  <w:p w:rsidR="00D53F64" w:rsidRDefault="00D53F64">
    <w:pPr>
      <w:pStyle w:val="Nagwek"/>
    </w:pPr>
  </w:p>
  <w:p w:rsidR="00D53F64" w:rsidRDefault="00D53F64">
    <w:pPr>
      <w:pStyle w:val="Nagwek"/>
    </w:pPr>
  </w:p>
  <w:p w:rsidR="00D53F64" w:rsidRDefault="00D53F64">
    <w:pPr>
      <w:pStyle w:val="Nagwek"/>
    </w:pPr>
  </w:p>
  <w:p w:rsidR="00D53F64" w:rsidRDefault="00D53F64">
    <w:pPr>
      <w:pStyle w:val="Nagwek"/>
    </w:pPr>
  </w:p>
  <w:p w:rsidR="00D53F64" w:rsidRDefault="00D53F6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3D5E"/>
    <w:multiLevelType w:val="hybridMultilevel"/>
    <w:tmpl w:val="10B66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A273B77"/>
    <w:multiLevelType w:val="hybridMultilevel"/>
    <w:tmpl w:val="9AD8D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9657CFA"/>
    <w:multiLevelType w:val="hybridMultilevel"/>
    <w:tmpl w:val="9AD8D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06083E"/>
    <w:multiLevelType w:val="hybridMultilevel"/>
    <w:tmpl w:val="5DAAD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24074"/>
    <w:rsid w:val="0000476A"/>
    <w:rsid w:val="0002373C"/>
    <w:rsid w:val="00023BF8"/>
    <w:rsid w:val="00052FCE"/>
    <w:rsid w:val="00053D4A"/>
    <w:rsid w:val="0007214A"/>
    <w:rsid w:val="00095CC9"/>
    <w:rsid w:val="000A0067"/>
    <w:rsid w:val="000B1DA7"/>
    <w:rsid w:val="000E72BE"/>
    <w:rsid w:val="000F0673"/>
    <w:rsid w:val="000F0D1B"/>
    <w:rsid w:val="00101BCF"/>
    <w:rsid w:val="00103006"/>
    <w:rsid w:val="00106A1A"/>
    <w:rsid w:val="0014308E"/>
    <w:rsid w:val="00151034"/>
    <w:rsid w:val="001576EC"/>
    <w:rsid w:val="00162647"/>
    <w:rsid w:val="00170601"/>
    <w:rsid w:val="001D5332"/>
    <w:rsid w:val="001E5118"/>
    <w:rsid w:val="00201049"/>
    <w:rsid w:val="00211817"/>
    <w:rsid w:val="0024054C"/>
    <w:rsid w:val="0026308F"/>
    <w:rsid w:val="00267EFE"/>
    <w:rsid w:val="00270664"/>
    <w:rsid w:val="00271622"/>
    <w:rsid w:val="00283E01"/>
    <w:rsid w:val="002A6264"/>
    <w:rsid w:val="002B3419"/>
    <w:rsid w:val="002C2C10"/>
    <w:rsid w:val="002F7005"/>
    <w:rsid w:val="00302FF6"/>
    <w:rsid w:val="00304AB6"/>
    <w:rsid w:val="00307189"/>
    <w:rsid w:val="00327050"/>
    <w:rsid w:val="00333A45"/>
    <w:rsid w:val="00343853"/>
    <w:rsid w:val="00382127"/>
    <w:rsid w:val="003B4DF9"/>
    <w:rsid w:val="003C3F3C"/>
    <w:rsid w:val="003D0237"/>
    <w:rsid w:val="003D1F95"/>
    <w:rsid w:val="003E2F6D"/>
    <w:rsid w:val="003F2481"/>
    <w:rsid w:val="003F5DE4"/>
    <w:rsid w:val="00406CB8"/>
    <w:rsid w:val="00410C9E"/>
    <w:rsid w:val="004453C3"/>
    <w:rsid w:val="00446D3F"/>
    <w:rsid w:val="00482B48"/>
    <w:rsid w:val="0048525D"/>
    <w:rsid w:val="004B363E"/>
    <w:rsid w:val="004F3196"/>
    <w:rsid w:val="0050203B"/>
    <w:rsid w:val="0054327E"/>
    <w:rsid w:val="0058743A"/>
    <w:rsid w:val="00592371"/>
    <w:rsid w:val="00594AF4"/>
    <w:rsid w:val="005A08D6"/>
    <w:rsid w:val="005B3A4A"/>
    <w:rsid w:val="005B5538"/>
    <w:rsid w:val="005C426C"/>
    <w:rsid w:val="005C4860"/>
    <w:rsid w:val="005C7D5B"/>
    <w:rsid w:val="0060233B"/>
    <w:rsid w:val="00606C2D"/>
    <w:rsid w:val="00620C1D"/>
    <w:rsid w:val="006252D6"/>
    <w:rsid w:val="00625E48"/>
    <w:rsid w:val="006838BC"/>
    <w:rsid w:val="006B6835"/>
    <w:rsid w:val="006B7B26"/>
    <w:rsid w:val="00727CC9"/>
    <w:rsid w:val="00742BE3"/>
    <w:rsid w:val="00753DAE"/>
    <w:rsid w:val="00753F76"/>
    <w:rsid w:val="00757C35"/>
    <w:rsid w:val="00773F6D"/>
    <w:rsid w:val="007A40EC"/>
    <w:rsid w:val="007B3F8A"/>
    <w:rsid w:val="007B41D8"/>
    <w:rsid w:val="007E14E6"/>
    <w:rsid w:val="007E7DBF"/>
    <w:rsid w:val="007F324C"/>
    <w:rsid w:val="007F5149"/>
    <w:rsid w:val="0080758B"/>
    <w:rsid w:val="0083560C"/>
    <w:rsid w:val="008419A9"/>
    <w:rsid w:val="00863AFD"/>
    <w:rsid w:val="008746FC"/>
    <w:rsid w:val="00884015"/>
    <w:rsid w:val="008A1205"/>
    <w:rsid w:val="008A30F3"/>
    <w:rsid w:val="008B0594"/>
    <w:rsid w:val="008B4BD4"/>
    <w:rsid w:val="008B70EC"/>
    <w:rsid w:val="008C6A79"/>
    <w:rsid w:val="00903C43"/>
    <w:rsid w:val="00924074"/>
    <w:rsid w:val="009350E4"/>
    <w:rsid w:val="00950470"/>
    <w:rsid w:val="00967117"/>
    <w:rsid w:val="00971A58"/>
    <w:rsid w:val="00977286"/>
    <w:rsid w:val="00977CE3"/>
    <w:rsid w:val="00992383"/>
    <w:rsid w:val="00994166"/>
    <w:rsid w:val="009F0986"/>
    <w:rsid w:val="00A03724"/>
    <w:rsid w:val="00A076FD"/>
    <w:rsid w:val="00A14883"/>
    <w:rsid w:val="00A25A7D"/>
    <w:rsid w:val="00A41E45"/>
    <w:rsid w:val="00A73219"/>
    <w:rsid w:val="00A80A5D"/>
    <w:rsid w:val="00A866F2"/>
    <w:rsid w:val="00A904EE"/>
    <w:rsid w:val="00A9160F"/>
    <w:rsid w:val="00AB5D92"/>
    <w:rsid w:val="00AC16AA"/>
    <w:rsid w:val="00AC2762"/>
    <w:rsid w:val="00AC5429"/>
    <w:rsid w:val="00AF5CDB"/>
    <w:rsid w:val="00B04C8C"/>
    <w:rsid w:val="00B128F3"/>
    <w:rsid w:val="00B655B5"/>
    <w:rsid w:val="00B71989"/>
    <w:rsid w:val="00B82011"/>
    <w:rsid w:val="00B900D5"/>
    <w:rsid w:val="00BB1660"/>
    <w:rsid w:val="00BB17D6"/>
    <w:rsid w:val="00BF4540"/>
    <w:rsid w:val="00C02322"/>
    <w:rsid w:val="00C274F5"/>
    <w:rsid w:val="00C32FC3"/>
    <w:rsid w:val="00C404F6"/>
    <w:rsid w:val="00C51D53"/>
    <w:rsid w:val="00C62111"/>
    <w:rsid w:val="00C72533"/>
    <w:rsid w:val="00C74078"/>
    <w:rsid w:val="00C77EC4"/>
    <w:rsid w:val="00C904EF"/>
    <w:rsid w:val="00CC2B4B"/>
    <w:rsid w:val="00CC445D"/>
    <w:rsid w:val="00CC72DD"/>
    <w:rsid w:val="00CF0045"/>
    <w:rsid w:val="00D25EEA"/>
    <w:rsid w:val="00D26397"/>
    <w:rsid w:val="00D27A78"/>
    <w:rsid w:val="00D27D43"/>
    <w:rsid w:val="00D3263A"/>
    <w:rsid w:val="00D3740B"/>
    <w:rsid w:val="00D53F64"/>
    <w:rsid w:val="00D575F4"/>
    <w:rsid w:val="00D701FF"/>
    <w:rsid w:val="00D75A74"/>
    <w:rsid w:val="00D84B78"/>
    <w:rsid w:val="00D9145A"/>
    <w:rsid w:val="00DA4FFB"/>
    <w:rsid w:val="00DB29E0"/>
    <w:rsid w:val="00DB5032"/>
    <w:rsid w:val="00E239B9"/>
    <w:rsid w:val="00E25954"/>
    <w:rsid w:val="00E4326F"/>
    <w:rsid w:val="00EB0481"/>
    <w:rsid w:val="00ED645D"/>
    <w:rsid w:val="00F060F0"/>
    <w:rsid w:val="00F07A7E"/>
    <w:rsid w:val="00F1425D"/>
    <w:rsid w:val="00F32057"/>
    <w:rsid w:val="00F41842"/>
    <w:rsid w:val="00F43EF2"/>
    <w:rsid w:val="00F56FE3"/>
    <w:rsid w:val="00F60FC0"/>
    <w:rsid w:val="00F674D9"/>
    <w:rsid w:val="00F930D9"/>
    <w:rsid w:val="00FA2A3E"/>
    <w:rsid w:val="00FB680E"/>
    <w:rsid w:val="00FC2844"/>
    <w:rsid w:val="00FF21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5E4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5E48"/>
    <w:rPr>
      <w:color w:val="0563C1" w:themeColor="hyperlink"/>
      <w:u w:val="single"/>
    </w:rPr>
  </w:style>
  <w:style w:type="paragraph" w:styleId="Akapitzlist">
    <w:name w:val="List Paragraph"/>
    <w:basedOn w:val="Normalny"/>
    <w:uiPriority w:val="34"/>
    <w:qFormat/>
    <w:rsid w:val="00625E48"/>
    <w:pPr>
      <w:ind w:left="720"/>
      <w:contextualSpacing/>
    </w:pPr>
  </w:style>
  <w:style w:type="paragraph" w:styleId="Tekstdymka">
    <w:name w:val="Balloon Text"/>
    <w:basedOn w:val="Normalny"/>
    <w:link w:val="TekstdymkaZnak"/>
    <w:uiPriority w:val="99"/>
    <w:semiHidden/>
    <w:unhideWhenUsed/>
    <w:rsid w:val="00950470"/>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950470"/>
    <w:rPr>
      <w:rFonts w:ascii="Lucida Grande CE" w:hAnsi="Lucida Grande CE" w:cs="Lucida Grande CE"/>
      <w:sz w:val="18"/>
      <w:szCs w:val="18"/>
    </w:rPr>
  </w:style>
  <w:style w:type="paragraph" w:styleId="Nagwek">
    <w:name w:val="header"/>
    <w:basedOn w:val="Normalny"/>
    <w:link w:val="NagwekZnak"/>
    <w:uiPriority w:val="99"/>
    <w:unhideWhenUsed/>
    <w:rsid w:val="003071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189"/>
  </w:style>
  <w:style w:type="paragraph" w:styleId="Stopka">
    <w:name w:val="footer"/>
    <w:basedOn w:val="Normalny"/>
    <w:link w:val="StopkaZnak"/>
    <w:uiPriority w:val="99"/>
    <w:unhideWhenUsed/>
    <w:rsid w:val="003071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7189"/>
  </w:style>
  <w:style w:type="character" w:styleId="Odwoaniedokomentarza">
    <w:name w:val="annotation reference"/>
    <w:basedOn w:val="Domylnaczcionkaakapitu"/>
    <w:uiPriority w:val="99"/>
    <w:semiHidden/>
    <w:unhideWhenUsed/>
    <w:rsid w:val="00103006"/>
    <w:rPr>
      <w:sz w:val="16"/>
      <w:szCs w:val="16"/>
    </w:rPr>
  </w:style>
  <w:style w:type="paragraph" w:styleId="Tekstkomentarza">
    <w:name w:val="annotation text"/>
    <w:basedOn w:val="Normalny"/>
    <w:link w:val="TekstkomentarzaZnak"/>
    <w:uiPriority w:val="99"/>
    <w:semiHidden/>
    <w:unhideWhenUsed/>
    <w:rsid w:val="001030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006"/>
    <w:rPr>
      <w:sz w:val="20"/>
      <w:szCs w:val="20"/>
    </w:rPr>
  </w:style>
  <w:style w:type="paragraph" w:styleId="Tematkomentarza">
    <w:name w:val="annotation subject"/>
    <w:basedOn w:val="Tekstkomentarza"/>
    <w:next w:val="Tekstkomentarza"/>
    <w:link w:val="TematkomentarzaZnak"/>
    <w:uiPriority w:val="99"/>
    <w:semiHidden/>
    <w:unhideWhenUsed/>
    <w:rsid w:val="00103006"/>
    <w:rPr>
      <w:b/>
      <w:bCs/>
    </w:rPr>
  </w:style>
  <w:style w:type="character" w:customStyle="1" w:styleId="TematkomentarzaZnak">
    <w:name w:val="Temat komentarza Znak"/>
    <w:basedOn w:val="TekstkomentarzaZnak"/>
    <w:link w:val="Tematkomentarza"/>
    <w:uiPriority w:val="99"/>
    <w:semiHidden/>
    <w:rsid w:val="00103006"/>
    <w:rPr>
      <w:b/>
      <w:bCs/>
      <w:sz w:val="20"/>
      <w:szCs w:val="20"/>
    </w:rPr>
  </w:style>
  <w:style w:type="table" w:styleId="Tabela-Siatka">
    <w:name w:val="Table Grid"/>
    <w:basedOn w:val="Standardowy"/>
    <w:uiPriority w:val="59"/>
    <w:rsid w:val="00FB680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J&#281;drek\Downloads\tabele_koszalin_2016-09-24(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281;drek\Downloads\tabele_koszalin_2016-09-24.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281;drek\Downloads\tabele_koszalin_2016-09-24(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281;drek\Desktop\Koszalin_CATI_wykresy.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281;drek\Desktop\Koszalin_CATI_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W</a:t>
            </a:r>
            <a:r>
              <a:rPr lang="pl-PL"/>
              <a:t>iek</a:t>
            </a:r>
            <a:endParaRPr lang="en-US"/>
          </a:p>
        </c:rich>
      </c:tx>
    </c:title>
    <c:plotArea>
      <c:layout/>
      <c:barChart>
        <c:barDir val="col"/>
        <c:grouping val="clustered"/>
        <c:ser>
          <c:idx val="0"/>
          <c:order val="0"/>
          <c:tx>
            <c:strRef>
              <c:f>Arkusz1!$D$3</c:f>
              <c:strCache>
                <c:ptCount val="1"/>
                <c:pt idx="0">
                  <c:v>kobiety</c:v>
                </c:pt>
              </c:strCache>
            </c:strRef>
          </c:tx>
          <c:dLbls>
            <c:spPr>
              <a:noFill/>
              <a:ln>
                <a:noFill/>
              </a:ln>
              <a:effectLst/>
            </c:spPr>
            <c:showVal val="1"/>
            <c:extLst>
              <c:ext xmlns:c15="http://schemas.microsoft.com/office/drawing/2012/chart" uri="{CE6537A1-D6FC-4f65-9D91-7224C49458BB}">
                <c15:showLeaderLines val="0"/>
              </c:ext>
            </c:extLst>
          </c:dLbls>
          <c:cat>
            <c:strRef>
              <c:f>Arkusz1!$E$1:$H$1</c:f>
              <c:strCache>
                <c:ptCount val="4"/>
                <c:pt idx="0">
                  <c:v>15-29</c:v>
                </c:pt>
                <c:pt idx="1">
                  <c:v>30-44</c:v>
                </c:pt>
                <c:pt idx="2">
                  <c:v>45-64</c:v>
                </c:pt>
                <c:pt idx="3">
                  <c:v>65 i więcej</c:v>
                </c:pt>
              </c:strCache>
            </c:strRef>
          </c:cat>
          <c:val>
            <c:numRef>
              <c:f>Arkusz1!$E$3:$H$3</c:f>
              <c:numCache>
                <c:formatCode>###0%</c:formatCode>
                <c:ptCount val="4"/>
                <c:pt idx="0">
                  <c:v>0.50420345468294481</c:v>
                </c:pt>
                <c:pt idx="1">
                  <c:v>0.4968401090434692</c:v>
                </c:pt>
                <c:pt idx="2">
                  <c:v>0.53689479298616205</c:v>
                </c:pt>
                <c:pt idx="3">
                  <c:v>0.61709917292774918</c:v>
                </c:pt>
              </c:numCache>
            </c:numRef>
          </c:val>
        </c:ser>
        <c:ser>
          <c:idx val="1"/>
          <c:order val="1"/>
          <c:tx>
            <c:strRef>
              <c:f>Arkusz1!$D$4</c:f>
              <c:strCache>
                <c:ptCount val="1"/>
                <c:pt idx="0">
                  <c:v>mężczyzni</c:v>
                </c:pt>
              </c:strCache>
            </c:strRef>
          </c:tx>
          <c:dLbls>
            <c:spPr>
              <a:noFill/>
              <a:ln>
                <a:noFill/>
              </a:ln>
              <a:effectLst/>
            </c:spPr>
            <c:showVal val="1"/>
            <c:extLst>
              <c:ext xmlns:c15="http://schemas.microsoft.com/office/drawing/2012/chart" uri="{CE6537A1-D6FC-4f65-9D91-7224C49458BB}">
                <c15:showLeaderLines val="0"/>
              </c:ext>
            </c:extLst>
          </c:dLbls>
          <c:cat>
            <c:strRef>
              <c:f>Arkusz1!$E$1:$H$1</c:f>
              <c:strCache>
                <c:ptCount val="4"/>
                <c:pt idx="0">
                  <c:v>15-29</c:v>
                </c:pt>
                <c:pt idx="1">
                  <c:v>30-44</c:v>
                </c:pt>
                <c:pt idx="2">
                  <c:v>45-64</c:v>
                </c:pt>
                <c:pt idx="3">
                  <c:v>65 i więcej</c:v>
                </c:pt>
              </c:strCache>
            </c:strRef>
          </c:cat>
          <c:val>
            <c:numRef>
              <c:f>Arkusz1!$E$4:$H$4</c:f>
              <c:numCache>
                <c:formatCode>###0%</c:formatCode>
                <c:ptCount val="4"/>
                <c:pt idx="0">
                  <c:v>0.49579654531705214</c:v>
                </c:pt>
                <c:pt idx="1">
                  <c:v>0.50315989095653202</c:v>
                </c:pt>
                <c:pt idx="2">
                  <c:v>0.46310520701383601</c:v>
                </c:pt>
                <c:pt idx="3">
                  <c:v>0.38290082707225231</c:v>
                </c:pt>
              </c:numCache>
            </c:numRef>
          </c:val>
        </c:ser>
        <c:dLbls>
          <c:showVal val="1"/>
        </c:dLbls>
        <c:overlap val="-25"/>
        <c:axId val="95896704"/>
        <c:axId val="95898240"/>
      </c:barChart>
      <c:catAx>
        <c:axId val="95896704"/>
        <c:scaling>
          <c:orientation val="minMax"/>
        </c:scaling>
        <c:axPos val="b"/>
        <c:numFmt formatCode="General" sourceLinked="0"/>
        <c:majorTickMark val="none"/>
        <c:tickLblPos val="nextTo"/>
        <c:crossAx val="95898240"/>
        <c:crosses val="autoZero"/>
        <c:auto val="1"/>
        <c:lblAlgn val="ctr"/>
        <c:lblOffset val="100"/>
      </c:catAx>
      <c:valAx>
        <c:axId val="95898240"/>
        <c:scaling>
          <c:orientation val="minMax"/>
        </c:scaling>
        <c:delete val="1"/>
        <c:axPos val="l"/>
        <c:numFmt formatCode="###0%" sourceLinked="1"/>
        <c:tickLblPos val="none"/>
        <c:crossAx val="95896704"/>
        <c:crosses val="autoZero"/>
        <c:crossBetween val="between"/>
      </c:valAx>
    </c:plotArea>
    <c:legend>
      <c:legendPos val="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b="1" i="0" u="none" strike="noStrike" baseline="0"/>
              <a:t>Dlaczego nie korzysta Pan(i) częściej niż obecnie z wydarzeń kulturalnych w mieście? / WYKSZTAŁCENIE</a:t>
            </a:r>
            <a:endParaRPr lang="pl-PL" sz="1200"/>
          </a:p>
        </c:rich>
      </c:tx>
    </c:title>
    <c:plotArea>
      <c:layout>
        <c:manualLayout>
          <c:layoutTarget val="inner"/>
          <c:xMode val="edge"/>
          <c:yMode val="edge"/>
          <c:x val="7.7305614575955819E-2"/>
          <c:y val="0.152124771932377"/>
          <c:w val="0.73207533086142018"/>
          <c:h val="0.4595738696635211"/>
        </c:manualLayout>
      </c:layout>
      <c:barChart>
        <c:barDir val="col"/>
        <c:grouping val="clustered"/>
        <c:ser>
          <c:idx val="0"/>
          <c:order val="0"/>
          <c:tx>
            <c:strRef>
              <c:f>Arkusz1!$C$416</c:f>
              <c:strCache>
                <c:ptCount val="1"/>
                <c:pt idx="0">
                  <c:v>gimnazjalne i niższe</c:v>
                </c:pt>
              </c:strCache>
            </c:strRef>
          </c:tx>
          <c:cat>
            <c:strRef>
              <c:f>Arkusz1!$B$417:$B$429</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Arkusz1!$C$417:$C$429</c:f>
              <c:numCache>
                <c:formatCode>###0%</c:formatCode>
                <c:ptCount val="13"/>
                <c:pt idx="0">
                  <c:v>0.38562458086208223</c:v>
                </c:pt>
                <c:pt idx="1">
                  <c:v>0.20581581035771601</c:v>
                </c:pt>
                <c:pt idx="2">
                  <c:v>0.34274293457742799</c:v>
                </c:pt>
                <c:pt idx="3">
                  <c:v>8.8808867093008115E-2</c:v>
                </c:pt>
                <c:pt idx="4">
                  <c:v>0.14287836573646107</c:v>
                </c:pt>
                <c:pt idx="5">
                  <c:v>9.9080421962801632E-2</c:v>
                </c:pt>
                <c:pt idx="6">
                  <c:v>0.113277605730874</c:v>
                </c:pt>
                <c:pt idx="7">
                  <c:v>6.8947733924021606E-2</c:v>
                </c:pt>
                <c:pt idx="8">
                  <c:v>4.0669744396117806E-2</c:v>
                </c:pt>
                <c:pt idx="9">
                  <c:v>8.7765569247963859E-2</c:v>
                </c:pt>
                <c:pt idx="10">
                  <c:v>3.4473866962010803E-2</c:v>
                </c:pt>
                <c:pt idx="11">
                  <c:v>4.343569744111124E-2</c:v>
                </c:pt>
                <c:pt idx="12">
                  <c:v>0</c:v>
                </c:pt>
              </c:numCache>
            </c:numRef>
          </c:val>
        </c:ser>
        <c:ser>
          <c:idx val="1"/>
          <c:order val="1"/>
          <c:tx>
            <c:strRef>
              <c:f>Arkusz1!$D$416</c:f>
              <c:strCache>
                <c:ptCount val="1"/>
                <c:pt idx="0">
                  <c:v>zasadnicze zawodowe</c:v>
                </c:pt>
              </c:strCache>
            </c:strRef>
          </c:tx>
          <c:cat>
            <c:strRef>
              <c:f>Arkusz1!$B$417:$B$429</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Arkusz1!$D$417:$D$429</c:f>
              <c:numCache>
                <c:formatCode>###0%</c:formatCode>
                <c:ptCount val="13"/>
                <c:pt idx="0">
                  <c:v>0.62261269684165998</c:v>
                </c:pt>
                <c:pt idx="1">
                  <c:v>0.20532599489499906</c:v>
                </c:pt>
                <c:pt idx="2">
                  <c:v>0.144605087908871</c:v>
                </c:pt>
                <c:pt idx="3">
                  <c:v>0.16189523702283407</c:v>
                </c:pt>
                <c:pt idx="4">
                  <c:v>0.15751315078574307</c:v>
                </c:pt>
                <c:pt idx="5">
                  <c:v>0.15576109044394806</c:v>
                </c:pt>
                <c:pt idx="6">
                  <c:v>8.6430974144637129E-2</c:v>
                </c:pt>
                <c:pt idx="7">
                  <c:v>5.6149979380753084E-2</c:v>
                </c:pt>
                <c:pt idx="8">
                  <c:v>7.6746552479583341E-2</c:v>
                </c:pt>
                <c:pt idx="9">
                  <c:v>5.6126709983425713E-2</c:v>
                </c:pt>
                <c:pt idx="10">
                  <c:v>6.2152248522801511E-2</c:v>
                </c:pt>
                <c:pt idx="11">
                  <c:v>1.5861100911815605E-2</c:v>
                </c:pt>
                <c:pt idx="12">
                  <c:v>1.0066402267902503E-2</c:v>
                </c:pt>
              </c:numCache>
            </c:numRef>
          </c:val>
        </c:ser>
        <c:ser>
          <c:idx val="2"/>
          <c:order val="2"/>
          <c:tx>
            <c:strRef>
              <c:f>Arkusz1!$E$416</c:f>
              <c:strCache>
                <c:ptCount val="1"/>
                <c:pt idx="0">
                  <c:v>średnie i policealne</c:v>
                </c:pt>
              </c:strCache>
            </c:strRef>
          </c:tx>
          <c:cat>
            <c:strRef>
              <c:f>Arkusz1!$B$417:$B$429</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Arkusz1!$E$417:$E$429</c:f>
              <c:numCache>
                <c:formatCode>###0%</c:formatCode>
                <c:ptCount val="13"/>
                <c:pt idx="0">
                  <c:v>0.61746627177639679</c:v>
                </c:pt>
                <c:pt idx="1">
                  <c:v>0.29041131617316801</c:v>
                </c:pt>
                <c:pt idx="2">
                  <c:v>0.17067193583730705</c:v>
                </c:pt>
                <c:pt idx="3">
                  <c:v>0.18906597806425601</c:v>
                </c:pt>
                <c:pt idx="4">
                  <c:v>8.8972869574104121E-2</c:v>
                </c:pt>
                <c:pt idx="5">
                  <c:v>0.14393355678488401</c:v>
                </c:pt>
                <c:pt idx="6">
                  <c:v>7.6956137640591324E-2</c:v>
                </c:pt>
                <c:pt idx="7">
                  <c:v>8.6450208676910709E-2</c:v>
                </c:pt>
                <c:pt idx="8">
                  <c:v>8.1227932845591516E-2</c:v>
                </c:pt>
                <c:pt idx="9">
                  <c:v>6.4520413277899619E-2</c:v>
                </c:pt>
                <c:pt idx="10">
                  <c:v>2.1875994254939413E-2</c:v>
                </c:pt>
                <c:pt idx="11">
                  <c:v>2.6785440890491419E-3</c:v>
                </c:pt>
                <c:pt idx="12">
                  <c:v>2.8649675990470209E-2</c:v>
                </c:pt>
              </c:numCache>
            </c:numRef>
          </c:val>
        </c:ser>
        <c:ser>
          <c:idx val="3"/>
          <c:order val="3"/>
          <c:tx>
            <c:strRef>
              <c:f>Arkusz1!$F$416</c:f>
              <c:strCache>
                <c:ptCount val="1"/>
                <c:pt idx="0">
                  <c:v>wyższe</c:v>
                </c:pt>
              </c:strCache>
            </c:strRef>
          </c:tx>
          <c:cat>
            <c:strRef>
              <c:f>Arkusz1!$B$417:$B$429</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Arkusz1!$F$417:$F$429</c:f>
              <c:numCache>
                <c:formatCode>###0%</c:formatCode>
                <c:ptCount val="13"/>
                <c:pt idx="0">
                  <c:v>0.64165355826518544</c:v>
                </c:pt>
                <c:pt idx="1">
                  <c:v>0.27679373266079588</c:v>
                </c:pt>
                <c:pt idx="2">
                  <c:v>6.7355795302771984E-2</c:v>
                </c:pt>
                <c:pt idx="3">
                  <c:v>0.21315043668902306</c:v>
                </c:pt>
                <c:pt idx="4">
                  <c:v>0.13619940050218807</c:v>
                </c:pt>
                <c:pt idx="5">
                  <c:v>0.13168481882814495</c:v>
                </c:pt>
                <c:pt idx="6">
                  <c:v>0.13548482255680805</c:v>
                </c:pt>
                <c:pt idx="7">
                  <c:v>8.1210791648493916E-2</c:v>
                </c:pt>
                <c:pt idx="8">
                  <c:v>5.2687473270732997E-2</c:v>
                </c:pt>
                <c:pt idx="9">
                  <c:v>2.9258033393263209E-2</c:v>
                </c:pt>
                <c:pt idx="10">
                  <c:v>7.8209365637166572E-2</c:v>
                </c:pt>
                <c:pt idx="11">
                  <c:v>2.7561596629241514E-2</c:v>
                </c:pt>
                <c:pt idx="12">
                  <c:v>5.033605420640512E-2</c:v>
                </c:pt>
              </c:numCache>
            </c:numRef>
          </c:val>
        </c:ser>
        <c:axId val="96435200"/>
        <c:axId val="96457472"/>
      </c:barChart>
      <c:catAx>
        <c:axId val="96435200"/>
        <c:scaling>
          <c:orientation val="minMax"/>
        </c:scaling>
        <c:axPos val="b"/>
        <c:numFmt formatCode="General" sourceLinked="0"/>
        <c:majorTickMark val="none"/>
        <c:tickLblPos val="nextTo"/>
        <c:crossAx val="96457472"/>
        <c:crosses val="autoZero"/>
        <c:auto val="1"/>
        <c:lblAlgn val="ctr"/>
        <c:lblOffset val="100"/>
      </c:catAx>
      <c:valAx>
        <c:axId val="96457472"/>
        <c:scaling>
          <c:orientation val="minMax"/>
        </c:scaling>
        <c:axPos val="l"/>
        <c:majorGridlines/>
        <c:numFmt formatCode="###0%" sourceLinked="1"/>
        <c:majorTickMark val="none"/>
        <c:tickLblPos val="nextTo"/>
        <c:crossAx val="96435200"/>
        <c:crosses val="autoZero"/>
        <c:crossBetween val="between"/>
      </c:valAx>
    </c:plotArea>
    <c:legend>
      <c:legendPos val="r"/>
      <c:layout>
        <c:manualLayout>
          <c:xMode val="edge"/>
          <c:yMode val="edge"/>
          <c:x val="0.80056260328569984"/>
          <c:y val="0.13043613197311105"/>
          <c:w val="0.19282364010054295"/>
          <c:h val="0.57992810944821305"/>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l-PL"/>
  <c:style val="6"/>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pl-PL" sz="1200"/>
              <a:t>Skąd</a:t>
            </a:r>
            <a:r>
              <a:rPr lang="pl-PL" sz="1200" baseline="0"/>
              <a:t> czerpie Pan(i) informację o ofercie kulturalnej?</a:t>
            </a:r>
            <a:endParaRPr lang="en-US" sz="1200"/>
          </a:p>
        </c:rich>
      </c:tx>
      <c:layout>
        <c:manualLayout>
          <c:xMode val="edge"/>
          <c:yMode val="edge"/>
          <c:x val="0.207100946263296"/>
          <c:y val="4.2735155487763E-2"/>
        </c:manualLayout>
      </c:layout>
      <c:spPr>
        <a:noFill/>
        <a:ln>
          <a:noFill/>
        </a:ln>
        <a:effectLst/>
      </c:spPr>
    </c:title>
    <c:plotArea>
      <c:layout>
        <c:manualLayout>
          <c:layoutTarget val="inner"/>
          <c:xMode val="edge"/>
          <c:yMode val="edge"/>
          <c:x val="8.8458523276695747E-2"/>
          <c:y val="0.17044701872998905"/>
          <c:w val="0.45629265091863491"/>
          <c:h val="0.72624589465583844"/>
        </c:manualLayout>
      </c:layout>
      <c:doughnutChart>
        <c:varyColors val="1"/>
        <c:ser>
          <c:idx val="0"/>
          <c:order val="0"/>
          <c:explosion val="5"/>
          <c:dPt>
            <c:idx val="0"/>
            <c:spPr>
              <a:solidFill>
                <a:schemeClr val="accent4">
                  <a:shade val="44000"/>
                </a:schemeClr>
              </a:solidFill>
              <a:ln>
                <a:noFill/>
              </a:ln>
              <a:effectLst/>
            </c:spPr>
          </c:dPt>
          <c:dPt>
            <c:idx val="1"/>
            <c:spPr>
              <a:solidFill>
                <a:schemeClr val="accent4">
                  <a:shade val="58000"/>
                </a:schemeClr>
              </a:solidFill>
              <a:ln>
                <a:noFill/>
              </a:ln>
              <a:effectLst/>
            </c:spPr>
          </c:dPt>
          <c:dPt>
            <c:idx val="2"/>
            <c:spPr>
              <a:solidFill>
                <a:schemeClr val="accent4">
                  <a:shade val="72000"/>
                </a:schemeClr>
              </a:solidFill>
              <a:ln>
                <a:noFill/>
              </a:ln>
              <a:effectLst/>
            </c:spPr>
          </c:dPt>
          <c:dPt>
            <c:idx val="3"/>
            <c:spPr>
              <a:solidFill>
                <a:schemeClr val="accent4">
                  <a:shade val="86000"/>
                </a:schemeClr>
              </a:solidFill>
              <a:ln>
                <a:noFill/>
              </a:ln>
              <a:effectLst/>
            </c:spPr>
          </c:dPt>
          <c:dPt>
            <c:idx val="4"/>
            <c:spPr>
              <a:solidFill>
                <a:schemeClr val="accent4"/>
              </a:solidFill>
              <a:ln>
                <a:noFill/>
              </a:ln>
              <a:effectLst/>
            </c:spPr>
          </c:dPt>
          <c:dPt>
            <c:idx val="5"/>
            <c:spPr>
              <a:solidFill>
                <a:schemeClr val="accent4">
                  <a:tint val="86000"/>
                </a:schemeClr>
              </a:solidFill>
              <a:ln>
                <a:noFill/>
              </a:ln>
              <a:effectLst/>
            </c:spPr>
          </c:dPt>
          <c:dPt>
            <c:idx val="6"/>
            <c:spPr>
              <a:solidFill>
                <a:schemeClr val="accent4">
                  <a:tint val="72000"/>
                </a:schemeClr>
              </a:solidFill>
              <a:ln>
                <a:noFill/>
              </a:ln>
              <a:effectLst/>
            </c:spPr>
          </c:dPt>
          <c:dPt>
            <c:idx val="7"/>
            <c:spPr>
              <a:solidFill>
                <a:schemeClr val="accent4">
                  <a:tint val="58000"/>
                </a:schemeClr>
              </a:solidFill>
              <a:ln>
                <a:noFill/>
              </a:ln>
              <a:effectLst/>
            </c:spPr>
          </c:dPt>
          <c:dPt>
            <c:idx val="8"/>
            <c:spPr>
              <a:solidFill>
                <a:schemeClr val="accent4">
                  <a:tint val="44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Val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Arkusz1!$B$48:$B$56</c:f>
              <c:strCache>
                <c:ptCount val="9"/>
                <c:pt idx="0">
                  <c:v>Internet</c:v>
                </c:pt>
                <c:pt idx="1">
                  <c:v>Facebook</c:v>
                </c:pt>
                <c:pt idx="2">
                  <c:v>Ulotki, plakaty</c:v>
                </c:pt>
                <c:pt idx="3">
                  <c:v>Prasa lokalna</c:v>
                </c:pt>
                <c:pt idx="4">
                  <c:v>Telewizja</c:v>
                </c:pt>
                <c:pt idx="5">
                  <c:v>poczta „pantoflowa”</c:v>
                </c:pt>
                <c:pt idx="6">
                  <c:v>Radio</c:v>
                </c:pt>
                <c:pt idx="7">
                  <c:v>Informator kulturalny „Trendy”</c:v>
                </c:pt>
                <c:pt idx="8">
                  <c:v>Nie wiem | trudno powiedzieć</c:v>
                </c:pt>
              </c:strCache>
            </c:strRef>
          </c:cat>
          <c:val>
            <c:numRef>
              <c:f>Arkusz1!$C$48:$C$56</c:f>
              <c:numCache>
                <c:formatCode>###0%</c:formatCode>
                <c:ptCount val="9"/>
                <c:pt idx="0">
                  <c:v>0.46255416145143302</c:v>
                </c:pt>
                <c:pt idx="1">
                  <c:v>0.27890604766077609</c:v>
                </c:pt>
                <c:pt idx="2">
                  <c:v>0.2477763511739261</c:v>
                </c:pt>
                <c:pt idx="3">
                  <c:v>0.23872471941861895</c:v>
                </c:pt>
                <c:pt idx="4">
                  <c:v>0.209853172159888</c:v>
                </c:pt>
                <c:pt idx="5">
                  <c:v>0.20918861827440496</c:v>
                </c:pt>
                <c:pt idx="6">
                  <c:v>0.15064902975628405</c:v>
                </c:pt>
                <c:pt idx="7">
                  <c:v>5.6725826009596012E-2</c:v>
                </c:pt>
                <c:pt idx="8">
                  <c:v>4.6689550503885208E-2</c:v>
                </c:pt>
              </c:numCache>
            </c:numRef>
          </c:val>
        </c:ser>
        <c:firstSliceAng val="0"/>
        <c:holeSize val="40"/>
      </c:doughnutChart>
      <c:spPr>
        <a:noFill/>
        <a:ln>
          <a:noFill/>
        </a:ln>
        <a:effectLst/>
      </c:spPr>
    </c:plotArea>
    <c:legend>
      <c:legendPos val="r"/>
      <c:layout>
        <c:manualLayout>
          <c:xMode val="edge"/>
          <c:yMode val="edge"/>
          <c:x val="0.6012105591117648"/>
          <c:y val="0.17184259645789207"/>
          <c:w val="0.38440095167960131"/>
          <c:h val="0.78151261713858022"/>
        </c:manualLayout>
      </c:layout>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pl-PL"/>
        </a:p>
      </c:txPr>
    </c:legend>
    <c:plotVisOnly val="1"/>
    <c:dispBlanksAs val="zero"/>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l-PL"/>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400"/>
              <a:t>Ba</a:t>
            </a:r>
            <a:r>
              <a:rPr lang="pl-PL" sz="1400"/>
              <a:t>łtycki</a:t>
            </a:r>
            <a:r>
              <a:rPr lang="pl-PL" sz="1400" baseline="0"/>
              <a:t> Teatr Dramatyczny im. Juliusza Słowackiego</a:t>
            </a:r>
            <a:endParaRPr lang="en-US" sz="1400"/>
          </a:p>
        </c:rich>
      </c:tx>
      <c:spPr>
        <a:noFill/>
        <a:ln>
          <a:noFill/>
        </a:ln>
        <a:effectLst/>
      </c:spPr>
    </c:title>
    <c:plotArea>
      <c:layout/>
      <c:barChart>
        <c:barDir val="col"/>
        <c:grouping val="clustered"/>
        <c:ser>
          <c:idx val="0"/>
          <c:order val="0"/>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pl-PL"/>
              </a:p>
            </c:txPr>
            <c:showVal val="1"/>
            <c:extLst>
              <c:ext xmlns:c15="http://schemas.microsoft.com/office/drawing/2012/chart" uri="{CE6537A1-D6FC-4f65-9D91-7224C49458BB}">
                <c15:showLeaderLines val="0"/>
              </c:ext>
            </c:extLst>
          </c:dLbls>
          <c:cat>
            <c:strRef>
              <c:f>Arkusz1!$B$95:$B$102</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Arkusz1!$C$95:$C$102</c:f>
              <c:numCache>
                <c:formatCode>###0%</c:formatCode>
                <c:ptCount val="8"/>
                <c:pt idx="0">
                  <c:v>0.44587055810267012</c:v>
                </c:pt>
                <c:pt idx="1">
                  <c:v>0.19113561784843</c:v>
                </c:pt>
                <c:pt idx="2">
                  <c:v>0.19349849364196511</c:v>
                </c:pt>
                <c:pt idx="3">
                  <c:v>0.12921949868021806</c:v>
                </c:pt>
                <c:pt idx="4">
                  <c:v>1.8854516901568405E-2</c:v>
                </c:pt>
                <c:pt idx="5">
                  <c:v>1.1672545208950908E-2</c:v>
                </c:pt>
                <c:pt idx="6">
                  <c:v>7.1940238972323222E-3</c:v>
                </c:pt>
                <c:pt idx="7">
                  <c:v>2.5547457189589212E-3</c:v>
                </c:pt>
              </c:numCache>
            </c:numRef>
          </c:val>
        </c:ser>
        <c:dLbls>
          <c:showVal val="1"/>
        </c:dLbls>
        <c:gapWidth val="100"/>
        <c:overlap val="-25"/>
        <c:axId val="96698368"/>
        <c:axId val="96699904"/>
      </c:barChart>
      <c:catAx>
        <c:axId val="96698368"/>
        <c:scaling>
          <c:orientation val="minMax"/>
        </c:scaling>
        <c:axPos val="b"/>
        <c:numFmt formatCode="General" sourceLinked="0"/>
        <c:maj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96699904"/>
        <c:crosses val="autoZero"/>
        <c:auto val="1"/>
        <c:lblAlgn val="ctr"/>
        <c:lblOffset val="100"/>
      </c:catAx>
      <c:valAx>
        <c:axId val="96699904"/>
        <c:scaling>
          <c:orientation val="minMax"/>
          <c:max val="0.70000000000000018"/>
        </c:scaling>
        <c:axPos val="l"/>
        <c:majorGridlines>
          <c:spPr>
            <a:ln w="6350" cap="flat" cmpd="sng" algn="ctr">
              <a:solidFill>
                <a:schemeClr val="tx1">
                  <a:tint val="75000"/>
                </a:schemeClr>
              </a:solidFill>
              <a:prstDash val="sysDot"/>
              <a:round/>
            </a:ln>
            <a:effectLst/>
          </c:spPr>
        </c:majorGridlines>
        <c:numFmt formatCode="###0%" sourceLinked="1"/>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96698368"/>
        <c:crosses val="autoZero"/>
        <c:crossBetween val="between"/>
        <c:majorUnit val="0.1"/>
      </c:valAx>
      <c:spPr>
        <a:solidFill>
          <a:schemeClr val="bg1"/>
        </a:solidFill>
        <a:ln>
          <a:noFill/>
        </a:ln>
        <a:effectLst/>
      </c:spPr>
    </c:plotArea>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a:pPr>
            <a:r>
              <a:rPr lang="pl-PL" sz="1400"/>
              <a:t>Centrum Kultury 105 w Koszalinie</a:t>
            </a:r>
          </a:p>
        </c:rich>
      </c:tx>
    </c:title>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Arkusz1!$B$120:$B$127</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Arkusz1!$C$120:$C$127</c:f>
              <c:numCache>
                <c:formatCode>###0%</c:formatCode>
                <c:ptCount val="8"/>
                <c:pt idx="0">
                  <c:v>0.50331920153594978</c:v>
                </c:pt>
                <c:pt idx="1">
                  <c:v>9.3741695651384724E-2</c:v>
                </c:pt>
                <c:pt idx="2">
                  <c:v>0.14450951204307896</c:v>
                </c:pt>
                <c:pt idx="3">
                  <c:v>0.172217724640018</c:v>
                </c:pt>
                <c:pt idx="4">
                  <c:v>2.9401680119491506E-2</c:v>
                </c:pt>
                <c:pt idx="5">
                  <c:v>2.9148783133262593E-2</c:v>
                </c:pt>
                <c:pt idx="6">
                  <c:v>1.8553999125990608E-2</c:v>
                </c:pt>
                <c:pt idx="7">
                  <c:v>9.1074037508167144E-3</c:v>
                </c:pt>
              </c:numCache>
            </c:numRef>
          </c:val>
        </c:ser>
        <c:dLbls>
          <c:showVal val="1"/>
        </c:dLbls>
        <c:gapWidth val="100"/>
        <c:axId val="96731136"/>
        <c:axId val="96732672"/>
      </c:barChart>
      <c:catAx>
        <c:axId val="96731136"/>
        <c:scaling>
          <c:orientation val="minMax"/>
        </c:scaling>
        <c:axPos val="b"/>
        <c:numFmt formatCode="General" sourceLinked="0"/>
        <c:majorTickMark val="none"/>
        <c:tickLblPos val="nextTo"/>
        <c:crossAx val="96732672"/>
        <c:crosses val="autoZero"/>
        <c:auto val="1"/>
        <c:lblAlgn val="ctr"/>
        <c:lblOffset val="100"/>
      </c:catAx>
      <c:valAx>
        <c:axId val="96732672"/>
        <c:scaling>
          <c:orientation val="minMax"/>
          <c:max val="0.70000000000000018"/>
        </c:scaling>
        <c:axPos val="l"/>
        <c:majorGridlines>
          <c:spPr>
            <a:ln>
              <a:prstDash val="sysDot"/>
            </a:ln>
          </c:spPr>
        </c:majorGridlines>
        <c:numFmt formatCode="###0%" sourceLinked="1"/>
        <c:tickLblPos val="nextTo"/>
        <c:crossAx val="96731136"/>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pl-PL"/>
  <c:style val="4"/>
  <c:chart>
    <c:title>
      <c:tx>
        <c:rich>
          <a:bodyPr/>
          <a:lstStyle/>
          <a:p>
            <a:pPr>
              <a:defRPr/>
            </a:pPr>
            <a:r>
              <a:rPr lang="pl-PL" sz="1400"/>
              <a:t>Filharmonia Koszalińska im. Stanisława Moniuszki</a:t>
            </a:r>
          </a:p>
        </c:rich>
      </c:tx>
    </c:title>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Arkusz1!$B$136:$B$143</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Arkusz1!$C$136:$C$143</c:f>
              <c:numCache>
                <c:formatCode>###0%</c:formatCode>
                <c:ptCount val="8"/>
                <c:pt idx="0">
                  <c:v>0.65771022793860423</c:v>
                </c:pt>
                <c:pt idx="1">
                  <c:v>0.13174738946012415</c:v>
                </c:pt>
                <c:pt idx="2">
                  <c:v>8.8629931110232374E-2</c:v>
                </c:pt>
                <c:pt idx="3">
                  <c:v>8.2412834606482313E-2</c:v>
                </c:pt>
                <c:pt idx="4">
                  <c:v>2.0455708858281605E-2</c:v>
                </c:pt>
                <c:pt idx="5">
                  <c:v>3.627437379367202E-3</c:v>
                </c:pt>
                <c:pt idx="6">
                  <c:v>7.7459574008590416E-3</c:v>
                </c:pt>
                <c:pt idx="7">
                  <c:v>7.6705132460452496E-3</c:v>
                </c:pt>
              </c:numCache>
            </c:numRef>
          </c:val>
        </c:ser>
        <c:dLbls>
          <c:showVal val="1"/>
        </c:dLbls>
        <c:gapWidth val="100"/>
        <c:overlap val="-25"/>
        <c:axId val="96756864"/>
        <c:axId val="96758400"/>
      </c:barChart>
      <c:catAx>
        <c:axId val="96756864"/>
        <c:scaling>
          <c:orientation val="minMax"/>
        </c:scaling>
        <c:axPos val="b"/>
        <c:numFmt formatCode="General" sourceLinked="0"/>
        <c:majorTickMark val="none"/>
        <c:tickLblPos val="nextTo"/>
        <c:crossAx val="96758400"/>
        <c:crosses val="autoZero"/>
        <c:auto val="1"/>
        <c:lblAlgn val="ctr"/>
        <c:lblOffset val="100"/>
      </c:catAx>
      <c:valAx>
        <c:axId val="96758400"/>
        <c:scaling>
          <c:orientation val="minMax"/>
        </c:scaling>
        <c:axPos val="l"/>
        <c:majorGridlines>
          <c:spPr>
            <a:ln>
              <a:prstDash val="sysDot"/>
            </a:ln>
          </c:spPr>
        </c:majorGridlines>
        <c:numFmt formatCode="###0%" sourceLinked="1"/>
        <c:tickLblPos val="nextTo"/>
        <c:crossAx val="96756864"/>
        <c:crosses val="autoZero"/>
        <c:crossBetween val="between"/>
        <c:majorUnit val="0.1"/>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600"/>
            </a:pPr>
            <a:r>
              <a:rPr lang="pl-PL" sz="1400"/>
              <a:t>Koszalińska</a:t>
            </a:r>
            <a:r>
              <a:rPr lang="pl-PL" sz="1400" baseline="0"/>
              <a:t> Biblioteka Publiczna im. Joachima Lelewela</a:t>
            </a:r>
            <a:endParaRPr lang="pl-PL" sz="1400"/>
          </a:p>
        </c:rich>
      </c:tx>
    </c:title>
    <c:plotArea>
      <c:layout>
        <c:manualLayout>
          <c:layoutTarget val="inner"/>
          <c:xMode val="edge"/>
          <c:yMode val="edge"/>
          <c:x val="7.2896443500118133E-2"/>
          <c:y val="0.14758936382952106"/>
          <c:w val="0.90285311558277404"/>
          <c:h val="0.67597519060117561"/>
        </c:manualLayout>
      </c:layout>
      <c:barChart>
        <c:barDir val="col"/>
        <c:grouping val="clustered"/>
        <c:ser>
          <c:idx val="0"/>
          <c:order val="0"/>
          <c:spPr>
            <a:solidFill>
              <a:schemeClr val="accent5"/>
            </a:solidFill>
          </c:spPr>
          <c:dLbls>
            <c:spPr>
              <a:noFill/>
              <a:ln>
                <a:noFill/>
              </a:ln>
              <a:effectLst/>
            </c:spPr>
            <c:showVal val="1"/>
            <c:extLst>
              <c:ext xmlns:c15="http://schemas.microsoft.com/office/drawing/2012/chart" uri="{CE6537A1-D6FC-4f65-9D91-7224C49458BB}">
                <c15:showLeaderLines val="0"/>
              </c:ext>
            </c:extLst>
          </c:dLbls>
          <c:cat>
            <c:strRef>
              <c:f>Arkusz1!$B$154:$B$161</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Arkusz1!$C$154:$C$161</c:f>
              <c:numCache>
                <c:formatCode>###0%</c:formatCode>
                <c:ptCount val="8"/>
                <c:pt idx="0">
                  <c:v>0.49566013242363499</c:v>
                </c:pt>
                <c:pt idx="1">
                  <c:v>0.18257522026655296</c:v>
                </c:pt>
                <c:pt idx="2">
                  <c:v>0.114987584048253</c:v>
                </c:pt>
                <c:pt idx="3">
                  <c:v>0.10180114973395203</c:v>
                </c:pt>
                <c:pt idx="4">
                  <c:v>3.9825269192800911E-2</c:v>
                </c:pt>
                <c:pt idx="5">
                  <c:v>4.6886990369489005E-2</c:v>
                </c:pt>
                <c:pt idx="6">
                  <c:v>9.2325230266612143E-3</c:v>
                </c:pt>
                <c:pt idx="7">
                  <c:v>9.0311309386488705E-3</c:v>
                </c:pt>
              </c:numCache>
            </c:numRef>
          </c:val>
        </c:ser>
        <c:dLbls>
          <c:showVal val="1"/>
        </c:dLbls>
        <c:gapWidth val="100"/>
        <c:axId val="96794880"/>
        <c:axId val="98566144"/>
      </c:barChart>
      <c:catAx>
        <c:axId val="96794880"/>
        <c:scaling>
          <c:orientation val="minMax"/>
        </c:scaling>
        <c:axPos val="b"/>
        <c:numFmt formatCode="General" sourceLinked="0"/>
        <c:majorTickMark val="none"/>
        <c:tickLblPos val="nextTo"/>
        <c:crossAx val="98566144"/>
        <c:crosses val="autoZero"/>
        <c:auto val="1"/>
        <c:lblAlgn val="ctr"/>
        <c:lblOffset val="100"/>
      </c:catAx>
      <c:valAx>
        <c:axId val="98566144"/>
        <c:scaling>
          <c:orientation val="minMax"/>
          <c:max val="0.70000000000000018"/>
        </c:scaling>
        <c:axPos val="l"/>
        <c:majorGridlines>
          <c:spPr>
            <a:ln>
              <a:prstDash val="sysDot"/>
            </a:ln>
          </c:spPr>
        </c:majorGridlines>
        <c:numFmt formatCode="###0%" sourceLinked="1"/>
        <c:tickLblPos val="nextTo"/>
        <c:crossAx val="96794880"/>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600"/>
            </a:pPr>
            <a:r>
              <a:rPr lang="pl-PL" sz="1600"/>
              <a:t>Muzeum w Koszalinie</a:t>
            </a:r>
          </a:p>
        </c:rich>
      </c:tx>
    </c:title>
    <c:plotArea>
      <c:layout>
        <c:manualLayout>
          <c:layoutTarget val="inner"/>
          <c:xMode val="edge"/>
          <c:yMode val="edge"/>
          <c:x val="7.2872345502266803E-2"/>
          <c:y val="0.14766767435320596"/>
          <c:w val="0.9028852302553092"/>
          <c:h val="0.65384244938132718"/>
        </c:manualLayout>
      </c:layout>
      <c:barChart>
        <c:barDir val="col"/>
        <c:grouping val="clustered"/>
        <c:ser>
          <c:idx val="0"/>
          <c:order val="0"/>
          <c:spPr>
            <a:solidFill>
              <a:schemeClr val="accent4">
                <a:lumMod val="75000"/>
              </a:schemeClr>
            </a:solidFill>
          </c:spPr>
          <c:dLbls>
            <c:spPr>
              <a:noFill/>
              <a:ln>
                <a:noFill/>
              </a:ln>
              <a:effectLst/>
            </c:spPr>
            <c:showVal val="1"/>
            <c:extLst>
              <c:ext xmlns:c15="http://schemas.microsoft.com/office/drawing/2012/chart" uri="{CE6537A1-D6FC-4f65-9D91-7224C49458BB}">
                <c15:showLeaderLines val="0"/>
              </c:ext>
            </c:extLst>
          </c:dLbls>
          <c:cat>
            <c:strRef>
              <c:f>Arkusz1!$B$174:$B$181</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Arkusz1!$C$174:$C$181</c:f>
              <c:numCache>
                <c:formatCode>###0%</c:formatCode>
                <c:ptCount val="8"/>
                <c:pt idx="0">
                  <c:v>0.36845162791910813</c:v>
                </c:pt>
                <c:pt idx="1">
                  <c:v>0.19522555653699905</c:v>
                </c:pt>
                <c:pt idx="2">
                  <c:v>0.32912521104761122</c:v>
                </c:pt>
                <c:pt idx="3">
                  <c:v>6.1327860382842506E-2</c:v>
                </c:pt>
                <c:pt idx="4">
                  <c:v>1.1397889704598305E-2</c:v>
                </c:pt>
                <c:pt idx="5">
                  <c:v>2.196184434273531E-2</c:v>
                </c:pt>
                <c:pt idx="6">
                  <c:v>1.10967400555493E-2</c:v>
                </c:pt>
                <c:pt idx="7">
                  <c:v>1.4132700105502899E-3</c:v>
                </c:pt>
              </c:numCache>
            </c:numRef>
          </c:val>
        </c:ser>
        <c:dLbls>
          <c:showVal val="1"/>
        </c:dLbls>
        <c:gapWidth val="100"/>
        <c:overlap val="-25"/>
        <c:axId val="98573696"/>
        <c:axId val="98604160"/>
      </c:barChart>
      <c:catAx>
        <c:axId val="98573696"/>
        <c:scaling>
          <c:orientation val="minMax"/>
        </c:scaling>
        <c:axPos val="b"/>
        <c:numFmt formatCode="General" sourceLinked="0"/>
        <c:majorTickMark val="none"/>
        <c:tickLblPos val="nextTo"/>
        <c:crossAx val="98604160"/>
        <c:crosses val="autoZero"/>
        <c:auto val="1"/>
        <c:lblAlgn val="ctr"/>
        <c:lblOffset val="100"/>
      </c:catAx>
      <c:valAx>
        <c:axId val="98604160"/>
        <c:scaling>
          <c:orientation val="minMax"/>
          <c:max val="0.70000000000000018"/>
        </c:scaling>
        <c:axPos val="l"/>
        <c:majorGridlines>
          <c:spPr>
            <a:ln>
              <a:prstDash val="sysDot"/>
            </a:ln>
          </c:spPr>
        </c:majorGridlines>
        <c:numFmt formatCode="###0%" sourceLinked="1"/>
        <c:tickLblPos val="nextTo"/>
        <c:spPr>
          <a:ln w="6350"/>
        </c:spPr>
        <c:crossAx val="98573696"/>
        <c:crosses val="autoZero"/>
        <c:crossBetween val="between"/>
        <c:majorUnit val="0.1"/>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pl-PL"/>
  <c:chart>
    <c:autoTitleDeleted val="1"/>
    <c:plotArea>
      <c:layout>
        <c:manualLayout>
          <c:layoutTarget val="inner"/>
          <c:xMode val="edge"/>
          <c:yMode val="edge"/>
          <c:x val="7.076688447651916E-2"/>
          <c:y val="0.170280190655586"/>
          <c:w val="0.90569111445339046"/>
          <c:h val="0.67334679062641822"/>
        </c:manualLayout>
      </c:layout>
      <c:barChart>
        <c:barDir val="col"/>
        <c:grouping val="clustered"/>
        <c:ser>
          <c:idx val="0"/>
          <c:order val="0"/>
          <c:tx>
            <c:v>Raz do roku albo częściej</c:v>
          </c:tx>
          <c:dLbls>
            <c:spPr>
              <a:noFill/>
              <a:ln>
                <a:noFill/>
              </a:ln>
              <a:effectLst/>
            </c:spPr>
            <c:showVal val="1"/>
            <c:extLst>
              <c:ext xmlns:c15="http://schemas.microsoft.com/office/drawing/2012/chart" uri="{CE6537A1-D6FC-4f65-9D91-7224C49458BB}">
                <c15:showLeaderLines val="0"/>
              </c:ext>
            </c:extLst>
          </c:dLbls>
          <c:cat>
            <c:strRef>
              <c:f>Arkusz1!$A$15:$A$19</c:f>
              <c:strCache>
                <c:ptCount val="5"/>
                <c:pt idx="0">
                  <c:v>Bałtycki Teatr Dramatyczny im. Juliusza Słowackiego</c:v>
                </c:pt>
                <c:pt idx="1">
                  <c:v>Centrum Kultury 105 w Koszalinie</c:v>
                </c:pt>
                <c:pt idx="2">
                  <c:v>Filharmonia Koszalińska im. Stanisława Moniuszki</c:v>
                </c:pt>
                <c:pt idx="3">
                  <c:v>Koszalińska Biblioteka Publiczna im. Joachima Lelewela</c:v>
                </c:pt>
                <c:pt idx="4">
                  <c:v>Muzeum w Koszalinie</c:v>
                </c:pt>
              </c:strCache>
            </c:strRef>
          </c:cat>
          <c:val>
            <c:numRef>
              <c:f>Arkusz1!$B$15:$B$19</c:f>
              <c:numCache>
                <c:formatCode>0%</c:formatCode>
                <c:ptCount val="5"/>
                <c:pt idx="0">
                  <c:v>0.3600000000000001</c:v>
                </c:pt>
                <c:pt idx="1">
                  <c:v>0.4</c:v>
                </c:pt>
                <c:pt idx="2">
                  <c:v>0.21000000000000005</c:v>
                </c:pt>
                <c:pt idx="3">
                  <c:v>0.32000000000000012</c:v>
                </c:pt>
                <c:pt idx="4">
                  <c:v>0.4300000000000001</c:v>
                </c:pt>
              </c:numCache>
            </c:numRef>
          </c:val>
        </c:ser>
        <c:ser>
          <c:idx val="1"/>
          <c:order val="1"/>
          <c:tx>
            <c:v>Nigdy albo rzadziej niż raz do roku</c:v>
          </c:tx>
          <c:dLbls>
            <c:spPr>
              <a:noFill/>
              <a:ln>
                <a:noFill/>
              </a:ln>
              <a:effectLst/>
            </c:spPr>
            <c:showVal val="1"/>
            <c:extLst>
              <c:ext xmlns:c15="http://schemas.microsoft.com/office/drawing/2012/chart" uri="{CE6537A1-D6FC-4f65-9D91-7224C49458BB}">
                <c15:showLeaderLines val="0"/>
              </c:ext>
            </c:extLst>
          </c:dLbls>
          <c:cat>
            <c:strRef>
              <c:f>Arkusz1!$A$15:$A$19</c:f>
              <c:strCache>
                <c:ptCount val="5"/>
                <c:pt idx="0">
                  <c:v>Bałtycki Teatr Dramatyczny im. Juliusza Słowackiego</c:v>
                </c:pt>
                <c:pt idx="1">
                  <c:v>Centrum Kultury 105 w Koszalinie</c:v>
                </c:pt>
                <c:pt idx="2">
                  <c:v>Filharmonia Koszalińska im. Stanisława Moniuszki</c:v>
                </c:pt>
                <c:pt idx="3">
                  <c:v>Koszalińska Biblioteka Publiczna im. Joachima Lelewela</c:v>
                </c:pt>
                <c:pt idx="4">
                  <c:v>Muzeum w Koszalinie</c:v>
                </c:pt>
              </c:strCache>
            </c:strRef>
          </c:cat>
          <c:val>
            <c:numRef>
              <c:f>Arkusz1!$C$15:$C$19</c:f>
              <c:numCache>
                <c:formatCode>0%</c:formatCode>
                <c:ptCount val="5"/>
                <c:pt idx="0">
                  <c:v>0.64000000000000024</c:v>
                </c:pt>
                <c:pt idx="1">
                  <c:v>0.6000000000000002</c:v>
                </c:pt>
                <c:pt idx="2">
                  <c:v>0.79</c:v>
                </c:pt>
                <c:pt idx="3">
                  <c:v>0.68</c:v>
                </c:pt>
                <c:pt idx="4">
                  <c:v>0.56000000000000005</c:v>
                </c:pt>
              </c:numCache>
            </c:numRef>
          </c:val>
        </c:ser>
        <c:dLbls>
          <c:showVal val="1"/>
        </c:dLbls>
        <c:gapWidth val="100"/>
        <c:overlap val="-25"/>
        <c:axId val="98626560"/>
        <c:axId val="98640640"/>
      </c:barChart>
      <c:catAx>
        <c:axId val="98626560"/>
        <c:scaling>
          <c:orientation val="minMax"/>
        </c:scaling>
        <c:axPos val="b"/>
        <c:numFmt formatCode="General" sourceLinked="0"/>
        <c:majorTickMark val="none"/>
        <c:tickLblPos val="nextTo"/>
        <c:txPr>
          <a:bodyPr/>
          <a:lstStyle/>
          <a:p>
            <a:pPr>
              <a:defRPr sz="900"/>
            </a:pPr>
            <a:endParaRPr lang="pl-PL"/>
          </a:p>
        </c:txPr>
        <c:crossAx val="98640640"/>
        <c:crosses val="autoZero"/>
        <c:auto val="1"/>
        <c:lblAlgn val="ctr"/>
        <c:lblOffset val="100"/>
      </c:catAx>
      <c:valAx>
        <c:axId val="98640640"/>
        <c:scaling>
          <c:orientation val="minMax"/>
          <c:max val="0.8"/>
        </c:scaling>
        <c:axPos val="l"/>
        <c:majorGridlines>
          <c:spPr>
            <a:ln>
              <a:prstDash val="sysDot"/>
            </a:ln>
          </c:spPr>
        </c:majorGridlines>
        <c:numFmt formatCode="0%" sourceLinked="1"/>
        <c:tickLblPos val="nextTo"/>
        <c:crossAx val="98626560"/>
        <c:crosses val="autoZero"/>
        <c:crossBetween val="between"/>
        <c:majorUnit val="0.2"/>
      </c:valAx>
    </c:plotArea>
    <c:legend>
      <c:legendPos val="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a:pPr>
            <a:r>
              <a:rPr lang="pl-PL" sz="1200"/>
              <a:t>Czy kiedykolwiek odwiedzał(a) Pan(i) lub uczestniczył(a) w wydarzeniach organizowanych przez następujące instytucje kultury?</a:t>
            </a:r>
          </a:p>
        </c:rich>
      </c:tx>
    </c:title>
    <c:plotArea>
      <c:layout>
        <c:manualLayout>
          <c:layoutTarget val="inner"/>
          <c:xMode val="edge"/>
          <c:yMode val="edge"/>
          <c:x val="0.27686254094271312"/>
          <c:y val="0.10758319694489903"/>
          <c:w val="0.69086206372963677"/>
          <c:h val="0.63062472346439546"/>
        </c:manualLayout>
      </c:layout>
      <c:barChart>
        <c:barDir val="bar"/>
        <c:grouping val="clustered"/>
        <c:ser>
          <c:idx val="0"/>
          <c:order val="0"/>
          <c:tx>
            <c:strRef>
              <c:f>Arkusz1!$D$212</c:f>
              <c:strCache>
                <c:ptCount val="1"/>
                <c:pt idx="0">
                  <c:v>Bałtycki Teatr Dramatyczny im. Juliusza Słowackiego</c:v>
                </c:pt>
              </c:strCache>
            </c:strRef>
          </c:tx>
          <c:cat>
            <c:strRef>
              <c:f>Arkusz1!$A$213:$C$220</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Arkusz1!$D$213:$D$220</c:f>
              <c:numCache>
                <c:formatCode>###0%</c:formatCode>
                <c:ptCount val="8"/>
                <c:pt idx="0">
                  <c:v>0.44587055810267112</c:v>
                </c:pt>
                <c:pt idx="1">
                  <c:v>0.19113561784843</c:v>
                </c:pt>
                <c:pt idx="2">
                  <c:v>0.19349849364196611</c:v>
                </c:pt>
                <c:pt idx="3">
                  <c:v>0.12921949868021806</c:v>
                </c:pt>
                <c:pt idx="4">
                  <c:v>1.8854516901568405E-2</c:v>
                </c:pt>
                <c:pt idx="5">
                  <c:v>1.1672545208950908E-2</c:v>
                </c:pt>
                <c:pt idx="6">
                  <c:v>7.1940238972323222E-3</c:v>
                </c:pt>
                <c:pt idx="7">
                  <c:v>2.5547457189589212E-3</c:v>
                </c:pt>
              </c:numCache>
            </c:numRef>
          </c:val>
        </c:ser>
        <c:ser>
          <c:idx val="1"/>
          <c:order val="1"/>
          <c:tx>
            <c:strRef>
              <c:f>Arkusz1!$E$212</c:f>
              <c:strCache>
                <c:ptCount val="1"/>
                <c:pt idx="0">
                  <c:v>Centrum Kultury 105 w Koszalinie</c:v>
                </c:pt>
              </c:strCache>
            </c:strRef>
          </c:tx>
          <c:cat>
            <c:strRef>
              <c:f>Arkusz1!$A$213:$C$220</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Arkusz1!$E$213:$E$220</c:f>
              <c:numCache>
                <c:formatCode>###0%</c:formatCode>
                <c:ptCount val="8"/>
                <c:pt idx="0">
                  <c:v>0.50331920153594978</c:v>
                </c:pt>
                <c:pt idx="1">
                  <c:v>9.3741695651384724E-2</c:v>
                </c:pt>
                <c:pt idx="2">
                  <c:v>0.14450951204307896</c:v>
                </c:pt>
                <c:pt idx="3">
                  <c:v>0.172217724640018</c:v>
                </c:pt>
                <c:pt idx="4">
                  <c:v>2.9401680119491506E-2</c:v>
                </c:pt>
                <c:pt idx="5">
                  <c:v>2.9148783133262593E-2</c:v>
                </c:pt>
                <c:pt idx="6">
                  <c:v>1.8553999125990608E-2</c:v>
                </c:pt>
                <c:pt idx="7">
                  <c:v>9.1074037508167144E-3</c:v>
                </c:pt>
              </c:numCache>
            </c:numRef>
          </c:val>
        </c:ser>
        <c:ser>
          <c:idx val="2"/>
          <c:order val="2"/>
          <c:tx>
            <c:strRef>
              <c:f>Arkusz1!$F$212</c:f>
              <c:strCache>
                <c:ptCount val="1"/>
                <c:pt idx="0">
                  <c:v>Filharmonia Koszalińska im. Stanisława Moniuszki</c:v>
                </c:pt>
              </c:strCache>
            </c:strRef>
          </c:tx>
          <c:cat>
            <c:strRef>
              <c:f>Arkusz1!$A$213:$C$220</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Arkusz1!$F$213:$F$220</c:f>
              <c:numCache>
                <c:formatCode>###0%</c:formatCode>
                <c:ptCount val="8"/>
                <c:pt idx="0">
                  <c:v>0.65771022793860423</c:v>
                </c:pt>
                <c:pt idx="1">
                  <c:v>0.13174738946012415</c:v>
                </c:pt>
                <c:pt idx="2">
                  <c:v>8.8629931110232485E-2</c:v>
                </c:pt>
                <c:pt idx="3">
                  <c:v>8.2412834606482313E-2</c:v>
                </c:pt>
                <c:pt idx="4">
                  <c:v>2.0455708858281605E-2</c:v>
                </c:pt>
                <c:pt idx="5">
                  <c:v>3.627437379367202E-3</c:v>
                </c:pt>
                <c:pt idx="6">
                  <c:v>7.7459574008590416E-3</c:v>
                </c:pt>
                <c:pt idx="7">
                  <c:v>7.6705132460452401E-3</c:v>
                </c:pt>
              </c:numCache>
            </c:numRef>
          </c:val>
        </c:ser>
        <c:ser>
          <c:idx val="3"/>
          <c:order val="3"/>
          <c:tx>
            <c:strRef>
              <c:f>Arkusz1!$G$212</c:f>
              <c:strCache>
                <c:ptCount val="1"/>
                <c:pt idx="0">
                  <c:v>Koszalińska Biblioteka Publiczna im. Joachima Lelewela</c:v>
                </c:pt>
              </c:strCache>
            </c:strRef>
          </c:tx>
          <c:cat>
            <c:strRef>
              <c:f>Arkusz1!$A$213:$C$220</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Arkusz1!$G$213:$G$220</c:f>
              <c:numCache>
                <c:formatCode>###0%</c:formatCode>
                <c:ptCount val="8"/>
                <c:pt idx="0">
                  <c:v>0.49566013242363499</c:v>
                </c:pt>
                <c:pt idx="1">
                  <c:v>0.18257522026655296</c:v>
                </c:pt>
                <c:pt idx="2">
                  <c:v>0.114987584048253</c:v>
                </c:pt>
                <c:pt idx="3">
                  <c:v>0.10180114973395203</c:v>
                </c:pt>
                <c:pt idx="4">
                  <c:v>3.9825269192800911E-2</c:v>
                </c:pt>
                <c:pt idx="5">
                  <c:v>4.6886990369489005E-2</c:v>
                </c:pt>
                <c:pt idx="6">
                  <c:v>9.2325230266612247E-3</c:v>
                </c:pt>
                <c:pt idx="7">
                  <c:v>9.0311309386488705E-3</c:v>
                </c:pt>
              </c:numCache>
            </c:numRef>
          </c:val>
        </c:ser>
        <c:ser>
          <c:idx val="4"/>
          <c:order val="4"/>
          <c:tx>
            <c:strRef>
              <c:f>Arkusz1!$H$212</c:f>
              <c:strCache>
                <c:ptCount val="1"/>
                <c:pt idx="0">
                  <c:v>Muzeum w Koszalinie</c:v>
                </c:pt>
              </c:strCache>
            </c:strRef>
          </c:tx>
          <c:cat>
            <c:strRef>
              <c:f>Arkusz1!$A$213:$C$220</c:f>
              <c:strCache>
                <c:ptCount val="8"/>
                <c:pt idx="0">
                  <c:v>Nigdy</c:v>
                </c:pt>
                <c:pt idx="1">
                  <c:v>Rzadziej niż raz w roku</c:v>
                </c:pt>
                <c:pt idx="2">
                  <c:v>Raz do roku</c:v>
                </c:pt>
                <c:pt idx="3">
                  <c:v>Kilka razy w roku</c:v>
                </c:pt>
                <c:pt idx="4">
                  <c:v>Raz na kilka miesięcy</c:v>
                </c:pt>
                <c:pt idx="5">
                  <c:v>Co najmniej raz w miesiącu</c:v>
                </c:pt>
                <c:pt idx="6">
                  <c:v>Kilka razy w miesiącu</c:v>
                </c:pt>
                <c:pt idx="7">
                  <c:v>Raz w tygodniu albo częściej</c:v>
                </c:pt>
              </c:strCache>
            </c:strRef>
          </c:cat>
          <c:val>
            <c:numRef>
              <c:f>Arkusz1!$H$213:$H$220</c:f>
              <c:numCache>
                <c:formatCode>###0%</c:formatCode>
                <c:ptCount val="8"/>
                <c:pt idx="0">
                  <c:v>0.36845162791910913</c:v>
                </c:pt>
                <c:pt idx="1">
                  <c:v>0.19522555653699905</c:v>
                </c:pt>
                <c:pt idx="2">
                  <c:v>0.32912521104761122</c:v>
                </c:pt>
                <c:pt idx="3">
                  <c:v>6.1327860382842506E-2</c:v>
                </c:pt>
                <c:pt idx="4">
                  <c:v>1.1397889704598305E-2</c:v>
                </c:pt>
                <c:pt idx="5">
                  <c:v>2.196184434273531E-2</c:v>
                </c:pt>
                <c:pt idx="6">
                  <c:v>1.10967400555493E-2</c:v>
                </c:pt>
                <c:pt idx="7">
                  <c:v>1.4132700105502899E-3</c:v>
                </c:pt>
              </c:numCache>
            </c:numRef>
          </c:val>
        </c:ser>
        <c:gapWidth val="75"/>
        <c:overlap val="-25"/>
        <c:axId val="98693120"/>
        <c:axId val="98694656"/>
      </c:barChart>
      <c:catAx>
        <c:axId val="98693120"/>
        <c:scaling>
          <c:orientation val="minMax"/>
        </c:scaling>
        <c:axPos val="l"/>
        <c:numFmt formatCode="General" sourceLinked="0"/>
        <c:majorTickMark val="none"/>
        <c:tickLblPos val="nextTo"/>
        <c:crossAx val="98694656"/>
        <c:crosses val="autoZero"/>
        <c:auto val="1"/>
        <c:lblAlgn val="ctr"/>
        <c:lblOffset val="100"/>
      </c:catAx>
      <c:valAx>
        <c:axId val="98694656"/>
        <c:scaling>
          <c:orientation val="minMax"/>
        </c:scaling>
        <c:axPos val="b"/>
        <c:majorGridlines/>
        <c:numFmt formatCode="###0%" sourceLinked="1"/>
        <c:majorTickMark val="none"/>
        <c:tickLblPos val="nextTo"/>
        <c:spPr>
          <a:ln w="9525">
            <a:noFill/>
          </a:ln>
        </c:spPr>
        <c:crossAx val="98693120"/>
        <c:crosses val="autoZero"/>
        <c:crossBetween val="between"/>
      </c:valAx>
    </c:plotArea>
    <c:legend>
      <c:legendPos val="b"/>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a:pPr>
            <a:r>
              <a:rPr lang="pl-PL" sz="1200"/>
              <a:t>Ocena atrakcyjności oferty instytucji kultury w skali od 1 do 5</a:t>
            </a:r>
          </a:p>
          <a:p>
            <a:pPr>
              <a:defRPr/>
            </a:pPr>
            <a:r>
              <a:rPr lang="pl-PL" sz="1200" b="0"/>
              <a:t>(gdzie 1 to ocena najniższa, a 5 to ocena najwyższa) </a:t>
            </a:r>
          </a:p>
        </c:rich>
      </c:tx>
    </c:title>
    <c:plotArea>
      <c:layout>
        <c:manualLayout>
          <c:layoutTarget val="inner"/>
          <c:xMode val="edge"/>
          <c:yMode val="edge"/>
          <c:x val="1.2064637753614101E-2"/>
          <c:y val="0.2092472778917471"/>
          <c:w val="0.88801512351149003"/>
          <c:h val="0.65377342665684246"/>
        </c:manualLayout>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Arkusz1!$A$262:$A$271</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Arkusz1!$B$262:$B$271</c:f>
              <c:numCache>
                <c:formatCode>General</c:formatCode>
                <c:ptCount val="10"/>
                <c:pt idx="0" formatCode="####.0">
                  <c:v>3.9409577730060708</c:v>
                </c:pt>
                <c:pt idx="2" formatCode="####.0">
                  <c:v>4.1865465624085072</c:v>
                </c:pt>
                <c:pt idx="4" formatCode="####.0">
                  <c:v>4.2746751991738439</c:v>
                </c:pt>
                <c:pt idx="6" formatCode="####.0">
                  <c:v>4.0389748504108356</c:v>
                </c:pt>
                <c:pt idx="8" formatCode="####.0">
                  <c:v>3.796725700693421</c:v>
                </c:pt>
              </c:numCache>
            </c:numRef>
          </c:val>
        </c:ser>
        <c:dLbls>
          <c:showVal val="1"/>
        </c:dLbls>
        <c:gapWidth val="50"/>
        <c:overlap val="-17"/>
        <c:axId val="98724480"/>
        <c:axId val="98730368"/>
      </c:barChart>
      <c:catAx>
        <c:axId val="98724480"/>
        <c:scaling>
          <c:orientation val="minMax"/>
        </c:scaling>
        <c:axPos val="b"/>
        <c:numFmt formatCode="General" sourceLinked="0"/>
        <c:majorTickMark val="none"/>
        <c:tickLblPos val="nextTo"/>
        <c:txPr>
          <a:bodyPr rot="0" vert="horz" anchor="b" anchorCtr="1"/>
          <a:lstStyle/>
          <a:p>
            <a:pPr>
              <a:defRPr sz="800"/>
            </a:pPr>
            <a:endParaRPr lang="pl-PL"/>
          </a:p>
        </c:txPr>
        <c:crossAx val="98730368"/>
        <c:crosses val="autoZero"/>
        <c:auto val="1"/>
        <c:lblAlgn val="ctr"/>
        <c:lblOffset val="100"/>
      </c:catAx>
      <c:valAx>
        <c:axId val="98730368"/>
        <c:scaling>
          <c:orientation val="minMax"/>
        </c:scaling>
        <c:axPos val="l"/>
        <c:majorGridlines>
          <c:spPr>
            <a:ln>
              <a:prstDash val="sysDot"/>
            </a:ln>
          </c:spPr>
        </c:majorGridlines>
        <c:numFmt formatCode="####.0" sourceLinked="1"/>
        <c:tickLblPos val="nextTo"/>
        <c:crossAx val="98724480"/>
        <c:crosses val="autoZero"/>
        <c:crossBetween val="between"/>
        <c:majorUnit val="0.2"/>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a:pPr>
            <a:r>
              <a:rPr lang="pl-PL"/>
              <a:t>Wykształcenie</a:t>
            </a:r>
            <a:endParaRPr lang="en-US"/>
          </a:p>
        </c:rich>
      </c:tx>
    </c:title>
    <c:plotArea>
      <c:layout/>
      <c:barChart>
        <c:barDir val="col"/>
        <c:grouping val="clustered"/>
        <c:ser>
          <c:idx val="0"/>
          <c:order val="0"/>
          <c:tx>
            <c:strRef>
              <c:f>Arkusz1!$D$14</c:f>
              <c:strCache>
                <c:ptCount val="1"/>
                <c:pt idx="0">
                  <c:v>kobiety</c:v>
                </c:pt>
              </c:strCache>
            </c:strRef>
          </c:tx>
          <c:dLbls>
            <c:spPr>
              <a:noFill/>
              <a:ln>
                <a:noFill/>
              </a:ln>
              <a:effectLst/>
            </c:spPr>
            <c:showVal val="1"/>
            <c:extLst>
              <c:ext xmlns:c15="http://schemas.microsoft.com/office/drawing/2012/chart" uri="{CE6537A1-D6FC-4f65-9D91-7224C49458BB}">
                <c15:showLeaderLines val="0"/>
              </c:ext>
            </c:extLst>
          </c:dLbls>
          <c:cat>
            <c:strRef>
              <c:f>Arkusz1!$E$12:$H$12</c:f>
              <c:strCache>
                <c:ptCount val="4"/>
                <c:pt idx="0">
                  <c:v>gimnazjalne i niższe</c:v>
                </c:pt>
                <c:pt idx="1">
                  <c:v>zasadnicze zawodowe</c:v>
                </c:pt>
                <c:pt idx="2">
                  <c:v>średnie i policealne</c:v>
                </c:pt>
                <c:pt idx="3">
                  <c:v>wyższe</c:v>
                </c:pt>
              </c:strCache>
            </c:strRef>
          </c:cat>
          <c:val>
            <c:numRef>
              <c:f>Arkusz1!$E$14:$H$14</c:f>
              <c:numCache>
                <c:formatCode>###0%</c:formatCode>
                <c:ptCount val="4"/>
                <c:pt idx="0">
                  <c:v>0.521578696819751</c:v>
                </c:pt>
                <c:pt idx="1">
                  <c:v>0.45981580607231309</c:v>
                </c:pt>
                <c:pt idx="2">
                  <c:v>0.60321233582640577</c:v>
                </c:pt>
                <c:pt idx="3">
                  <c:v>0.66699150630913961</c:v>
                </c:pt>
              </c:numCache>
            </c:numRef>
          </c:val>
        </c:ser>
        <c:ser>
          <c:idx val="1"/>
          <c:order val="1"/>
          <c:tx>
            <c:strRef>
              <c:f>Arkusz1!$D$15</c:f>
              <c:strCache>
                <c:ptCount val="1"/>
                <c:pt idx="0">
                  <c:v>mężczyźni</c:v>
                </c:pt>
              </c:strCache>
            </c:strRef>
          </c:tx>
          <c:dLbls>
            <c:spPr>
              <a:noFill/>
              <a:ln>
                <a:noFill/>
              </a:ln>
              <a:effectLst/>
            </c:spPr>
            <c:showVal val="1"/>
            <c:extLst>
              <c:ext xmlns:c15="http://schemas.microsoft.com/office/drawing/2012/chart" uri="{CE6537A1-D6FC-4f65-9D91-7224C49458BB}">
                <c15:showLeaderLines val="0"/>
              </c:ext>
            </c:extLst>
          </c:dLbls>
          <c:cat>
            <c:strRef>
              <c:f>Arkusz1!$E$12:$H$12</c:f>
              <c:strCache>
                <c:ptCount val="4"/>
                <c:pt idx="0">
                  <c:v>gimnazjalne i niższe</c:v>
                </c:pt>
                <c:pt idx="1">
                  <c:v>zasadnicze zawodowe</c:v>
                </c:pt>
                <c:pt idx="2">
                  <c:v>średnie i policealne</c:v>
                </c:pt>
                <c:pt idx="3">
                  <c:v>wyższe</c:v>
                </c:pt>
              </c:strCache>
            </c:strRef>
          </c:cat>
          <c:val>
            <c:numRef>
              <c:f>Arkusz1!$E$15:$H$15</c:f>
              <c:numCache>
                <c:formatCode>###0%</c:formatCode>
                <c:ptCount val="4"/>
                <c:pt idx="0">
                  <c:v>0.47842130318025022</c:v>
                </c:pt>
                <c:pt idx="1">
                  <c:v>0.54018419392768779</c:v>
                </c:pt>
                <c:pt idx="2">
                  <c:v>0.39678766417359113</c:v>
                </c:pt>
                <c:pt idx="3">
                  <c:v>0.33300849369086233</c:v>
                </c:pt>
              </c:numCache>
            </c:numRef>
          </c:val>
        </c:ser>
        <c:dLbls>
          <c:showVal val="1"/>
        </c:dLbls>
        <c:overlap val="-25"/>
        <c:axId val="95920128"/>
        <c:axId val="95921664"/>
      </c:barChart>
      <c:catAx>
        <c:axId val="95920128"/>
        <c:scaling>
          <c:orientation val="minMax"/>
        </c:scaling>
        <c:axPos val="b"/>
        <c:numFmt formatCode="General" sourceLinked="0"/>
        <c:majorTickMark val="none"/>
        <c:tickLblPos val="nextTo"/>
        <c:crossAx val="95921664"/>
        <c:crosses val="autoZero"/>
        <c:auto val="1"/>
        <c:lblAlgn val="ctr"/>
        <c:lblOffset val="100"/>
      </c:catAx>
      <c:valAx>
        <c:axId val="95921664"/>
        <c:scaling>
          <c:orientation val="minMax"/>
        </c:scaling>
        <c:delete val="1"/>
        <c:axPos val="l"/>
        <c:numFmt formatCode="###0%" sourceLinked="1"/>
        <c:tickLblPos val="none"/>
        <c:crossAx val="95920128"/>
        <c:crosses val="autoZero"/>
        <c:crossBetween val="between"/>
      </c:valAx>
    </c:plotArea>
    <c:legend>
      <c:legendPos val="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050" b="1" i="0" baseline="0"/>
              <a:t>Ocena atrakcyjności oferty instytucji kultury w skali od 1 do 5</a:t>
            </a:r>
            <a:endParaRPr lang="pl-PL" sz="1050"/>
          </a:p>
          <a:p>
            <a:pPr>
              <a:defRPr/>
            </a:pPr>
            <a:r>
              <a:rPr lang="pl-PL" sz="1050" b="0" i="0" baseline="0"/>
              <a:t>(gdzie 1 to ocena najniższa, a 5 to ocena najwyższa) / WIEK</a:t>
            </a:r>
            <a:endParaRPr lang="pl-PL" sz="1050"/>
          </a:p>
        </c:rich>
      </c:tx>
    </c:title>
    <c:plotArea>
      <c:layout/>
      <c:barChart>
        <c:barDir val="col"/>
        <c:grouping val="clustered"/>
        <c:ser>
          <c:idx val="0"/>
          <c:order val="0"/>
          <c:tx>
            <c:v>15-29</c:v>
          </c:tx>
          <c:cat>
            <c:strRef>
              <c:f>Arkusz1!$A$301:$A$310</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Arkusz1!$B$302:$B$310</c:f>
              <c:numCache>
                <c:formatCode>General</c:formatCode>
                <c:ptCount val="9"/>
                <c:pt idx="0" formatCode="####.0">
                  <c:v>3.9655987001455588</c:v>
                </c:pt>
                <c:pt idx="2" formatCode="####.0">
                  <c:v>3.9291427747774401</c:v>
                </c:pt>
                <c:pt idx="4" formatCode="####.0">
                  <c:v>3.8284794795126862</c:v>
                </c:pt>
                <c:pt idx="6" formatCode="####.0">
                  <c:v>4.0634612782846729</c:v>
                </c:pt>
                <c:pt idx="8" formatCode="####.0">
                  <c:v>3.5182426899808692</c:v>
                </c:pt>
              </c:numCache>
            </c:numRef>
          </c:val>
        </c:ser>
        <c:ser>
          <c:idx val="1"/>
          <c:order val="1"/>
          <c:tx>
            <c:v>30-44</c:v>
          </c:tx>
          <c:cat>
            <c:strRef>
              <c:f>Arkusz1!$A$301:$A$310</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Arkusz1!$C$302:$C$310</c:f>
              <c:numCache>
                <c:formatCode>General</c:formatCode>
                <c:ptCount val="9"/>
                <c:pt idx="0" formatCode="####.0">
                  <c:v>3.9049073173502049</c:v>
                </c:pt>
                <c:pt idx="2" formatCode="####.0">
                  <c:v>4.2809080095989644</c:v>
                </c:pt>
                <c:pt idx="4" formatCode="####.0">
                  <c:v>4.3415006765528652</c:v>
                </c:pt>
                <c:pt idx="6" formatCode="####.0">
                  <c:v>3.9053786262168977</c:v>
                </c:pt>
                <c:pt idx="8" formatCode="####.0">
                  <c:v>3.6420819108655782</c:v>
                </c:pt>
              </c:numCache>
            </c:numRef>
          </c:val>
        </c:ser>
        <c:ser>
          <c:idx val="2"/>
          <c:order val="2"/>
          <c:tx>
            <c:v>45-64</c:v>
          </c:tx>
          <c:cat>
            <c:strRef>
              <c:f>Arkusz1!$A$301:$A$310</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Arkusz1!$D$302:$D$310</c:f>
              <c:numCache>
                <c:formatCode>General</c:formatCode>
                <c:ptCount val="9"/>
                <c:pt idx="0" formatCode="####.0">
                  <c:v>3.7641693037055601</c:v>
                </c:pt>
                <c:pt idx="2" formatCode="####.0">
                  <c:v>4.168396851521746</c:v>
                </c:pt>
                <c:pt idx="4" formatCode="####.0">
                  <c:v>4.273017072873162</c:v>
                </c:pt>
                <c:pt idx="6" formatCode="####.0">
                  <c:v>4.1396640213884304</c:v>
                </c:pt>
                <c:pt idx="8" formatCode="####.0">
                  <c:v>4.0031467155867952</c:v>
                </c:pt>
              </c:numCache>
            </c:numRef>
          </c:val>
        </c:ser>
        <c:ser>
          <c:idx val="3"/>
          <c:order val="3"/>
          <c:tx>
            <c:v>65</c:v>
          </c:tx>
          <c:cat>
            <c:strRef>
              <c:f>Arkusz1!$A$301:$A$310</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Arkusz1!$E$302:$E$310</c:f>
              <c:numCache>
                <c:formatCode>General</c:formatCode>
                <c:ptCount val="9"/>
                <c:pt idx="0" formatCode="####.0">
                  <c:v>4.2596284166741176</c:v>
                </c:pt>
                <c:pt idx="2" formatCode="####.0">
                  <c:v>4.4565290731043721</c:v>
                </c:pt>
                <c:pt idx="4" formatCode="####.0">
                  <c:v>4.6104667735967686</c:v>
                </c:pt>
                <c:pt idx="6" formatCode="####.0">
                  <c:v>4.1064920033107724</c:v>
                </c:pt>
                <c:pt idx="8" formatCode="####.0">
                  <c:v>4.0135179895112927</c:v>
                </c:pt>
              </c:numCache>
            </c:numRef>
          </c:val>
        </c:ser>
        <c:gapWidth val="0"/>
        <c:overlap val="-25"/>
        <c:axId val="98766208"/>
        <c:axId val="98792576"/>
      </c:barChart>
      <c:catAx>
        <c:axId val="98766208"/>
        <c:scaling>
          <c:orientation val="minMax"/>
        </c:scaling>
        <c:axPos val="b"/>
        <c:numFmt formatCode="General" sourceLinked="0"/>
        <c:majorTickMark val="none"/>
        <c:tickLblPos val="nextTo"/>
        <c:txPr>
          <a:bodyPr/>
          <a:lstStyle/>
          <a:p>
            <a:pPr>
              <a:defRPr sz="800"/>
            </a:pPr>
            <a:endParaRPr lang="pl-PL"/>
          </a:p>
        </c:txPr>
        <c:crossAx val="98792576"/>
        <c:crosses val="autoZero"/>
        <c:auto val="1"/>
        <c:lblAlgn val="ctr"/>
        <c:lblOffset val="100"/>
      </c:catAx>
      <c:valAx>
        <c:axId val="98792576"/>
        <c:scaling>
          <c:orientation val="minMax"/>
        </c:scaling>
        <c:axPos val="l"/>
        <c:majorGridlines/>
        <c:numFmt formatCode="####.0" sourceLinked="1"/>
        <c:majorTickMark val="none"/>
        <c:tickLblPos val="nextTo"/>
        <c:spPr>
          <a:ln w="9525">
            <a:noFill/>
          </a:ln>
        </c:spPr>
        <c:crossAx val="98766208"/>
        <c:crosses val="autoZero"/>
        <c:crossBetween val="between"/>
        <c:majorUnit val="1"/>
      </c:valAx>
    </c:plotArea>
    <c:legend>
      <c:legendPos val="b"/>
      <c:txPr>
        <a:bodyPr/>
        <a:lstStyle/>
        <a:p>
          <a:pPr>
            <a:defRPr sz="1050"/>
          </a:pPr>
          <a:endParaRPr lang="pl-PL"/>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a:pPr>
            <a:r>
              <a:rPr lang="pl-PL" sz="1200" b="1" i="0" baseline="0"/>
              <a:t>Ocena atrakcyjności oferty instytucji kultury w skali od 1 do 5</a:t>
            </a:r>
          </a:p>
          <a:p>
            <a:pPr>
              <a:defRPr/>
            </a:pPr>
            <a:r>
              <a:rPr lang="pl-PL" sz="1200" b="0" i="0" baseline="0"/>
              <a:t>(gdzie 1 to ocena najniższa, a 5 to ocena najwyższa) / WYKSZTAŁCENIE</a:t>
            </a:r>
            <a:endParaRPr lang="pl-PL" sz="1200" b="1" i="0" baseline="0"/>
          </a:p>
        </c:rich>
      </c:tx>
    </c:title>
    <c:plotArea>
      <c:layout/>
      <c:barChart>
        <c:barDir val="col"/>
        <c:grouping val="clustered"/>
        <c:ser>
          <c:idx val="0"/>
          <c:order val="0"/>
          <c:tx>
            <c:strRef>
              <c:f>Arkusz1!$B$342</c:f>
              <c:strCache>
                <c:ptCount val="1"/>
                <c:pt idx="0">
                  <c:v>gimnazjalne i niższe</c:v>
                </c:pt>
              </c:strCache>
            </c:strRef>
          </c:tx>
          <c:cat>
            <c:strRef>
              <c:f>Arkusz1!$A$343:$A$352</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Arkusz1!$B$344:$B$352</c:f>
              <c:numCache>
                <c:formatCode>General</c:formatCode>
                <c:ptCount val="9"/>
                <c:pt idx="0" formatCode="####.0">
                  <c:v>4.2929852646170268</c:v>
                </c:pt>
                <c:pt idx="2" formatCode="####.0">
                  <c:v>4.1146200333746163</c:v>
                </c:pt>
                <c:pt idx="4" formatCode="####.0">
                  <c:v>4.3077213450059775</c:v>
                </c:pt>
                <c:pt idx="6" formatCode="####.0">
                  <c:v>4.3120985298887495</c:v>
                </c:pt>
                <c:pt idx="8" formatCode="####.0">
                  <c:v>3.6689293241336447</c:v>
                </c:pt>
              </c:numCache>
            </c:numRef>
          </c:val>
        </c:ser>
        <c:ser>
          <c:idx val="1"/>
          <c:order val="1"/>
          <c:tx>
            <c:strRef>
              <c:f>Arkusz1!$C$342</c:f>
              <c:strCache>
                <c:ptCount val="1"/>
                <c:pt idx="0">
                  <c:v>zasadnicze zawodowe</c:v>
                </c:pt>
              </c:strCache>
            </c:strRef>
          </c:tx>
          <c:cat>
            <c:strRef>
              <c:f>Arkusz1!$A$343:$A$352</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Arkusz1!$C$344:$C$352</c:f>
              <c:numCache>
                <c:formatCode>General</c:formatCode>
                <c:ptCount val="9"/>
                <c:pt idx="0" formatCode="####.0">
                  <c:v>3.598339614546779</c:v>
                </c:pt>
                <c:pt idx="2" formatCode="####.0">
                  <c:v>4.2957816736000201</c:v>
                </c:pt>
                <c:pt idx="4" formatCode="####.0">
                  <c:v>4.2199352272770376</c:v>
                </c:pt>
                <c:pt idx="6" formatCode="####.0">
                  <c:v>3.9212778495798855</c:v>
                </c:pt>
                <c:pt idx="8" formatCode="####.0">
                  <c:v>3.9476919421203878</c:v>
                </c:pt>
              </c:numCache>
            </c:numRef>
          </c:val>
        </c:ser>
        <c:ser>
          <c:idx val="2"/>
          <c:order val="2"/>
          <c:tx>
            <c:strRef>
              <c:f>Arkusz1!$D$342</c:f>
              <c:strCache>
                <c:ptCount val="1"/>
                <c:pt idx="0">
                  <c:v>średnie i policealne</c:v>
                </c:pt>
              </c:strCache>
            </c:strRef>
          </c:tx>
          <c:cat>
            <c:strRef>
              <c:f>Arkusz1!$A$343:$A$352</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Arkusz1!$D$344:$D$352</c:f>
              <c:numCache>
                <c:formatCode>General</c:formatCode>
                <c:ptCount val="9"/>
                <c:pt idx="0" formatCode="####.0">
                  <c:v>4.0854345048750087</c:v>
                </c:pt>
                <c:pt idx="2" formatCode="####.0">
                  <c:v>4.1513057293888052</c:v>
                </c:pt>
                <c:pt idx="4" formatCode="####.0">
                  <c:v>4.3350774684728126</c:v>
                </c:pt>
                <c:pt idx="6" formatCode="####.0">
                  <c:v>3.974476285368159</c:v>
                </c:pt>
                <c:pt idx="8" formatCode="####.0">
                  <c:v>3.8740398543217647</c:v>
                </c:pt>
              </c:numCache>
            </c:numRef>
          </c:val>
        </c:ser>
        <c:ser>
          <c:idx val="3"/>
          <c:order val="3"/>
          <c:tx>
            <c:strRef>
              <c:f>Arkusz1!$E$342</c:f>
              <c:strCache>
                <c:ptCount val="1"/>
                <c:pt idx="0">
                  <c:v>wyższe</c:v>
                </c:pt>
              </c:strCache>
            </c:strRef>
          </c:tx>
          <c:cat>
            <c:strRef>
              <c:f>Arkusz1!$A$343:$A$352</c:f>
              <c:strCache>
                <c:ptCount val="9"/>
                <c:pt idx="0">
                  <c:v>Bałtycki Teatr Dramatyczny im. Juliusza Słowackiego</c:v>
                </c:pt>
                <c:pt idx="2">
                  <c:v>Centrum Kultury 105 w Koszalinie</c:v>
                </c:pt>
                <c:pt idx="4">
                  <c:v>Filharmonia Koszalińska im. Stanisława Moniuszki</c:v>
                </c:pt>
                <c:pt idx="6">
                  <c:v>Koszalińska Biblioteka Publiczna im. Joachima Lelewela</c:v>
                </c:pt>
                <c:pt idx="8">
                  <c:v>Muzeum w Koszalinie</c:v>
                </c:pt>
              </c:strCache>
            </c:strRef>
          </c:cat>
          <c:val>
            <c:numRef>
              <c:f>Arkusz1!$E$344:$E$352</c:f>
              <c:numCache>
                <c:formatCode>General</c:formatCode>
                <c:ptCount val="9"/>
                <c:pt idx="0" formatCode="####.0">
                  <c:v>4.0491663225757319</c:v>
                </c:pt>
                <c:pt idx="2" formatCode="####.0">
                  <c:v>4.1202384010640314</c:v>
                </c:pt>
                <c:pt idx="4" formatCode="####.0">
                  <c:v>4.26221134053218</c:v>
                </c:pt>
                <c:pt idx="6" formatCode="####.0">
                  <c:v>4.0679594162221315</c:v>
                </c:pt>
                <c:pt idx="8" formatCode="####.0">
                  <c:v>3.5372777240581788</c:v>
                </c:pt>
              </c:numCache>
            </c:numRef>
          </c:val>
        </c:ser>
        <c:gapWidth val="0"/>
        <c:overlap val="-25"/>
        <c:axId val="98833152"/>
        <c:axId val="98834688"/>
      </c:barChart>
      <c:catAx>
        <c:axId val="98833152"/>
        <c:scaling>
          <c:orientation val="minMax"/>
        </c:scaling>
        <c:axPos val="b"/>
        <c:numFmt formatCode="General" sourceLinked="0"/>
        <c:majorTickMark val="none"/>
        <c:tickLblPos val="nextTo"/>
        <c:txPr>
          <a:bodyPr/>
          <a:lstStyle/>
          <a:p>
            <a:pPr>
              <a:defRPr sz="800"/>
            </a:pPr>
            <a:endParaRPr lang="pl-PL"/>
          </a:p>
        </c:txPr>
        <c:crossAx val="98834688"/>
        <c:crosses val="autoZero"/>
        <c:auto val="1"/>
        <c:lblAlgn val="ctr"/>
        <c:lblOffset val="100"/>
      </c:catAx>
      <c:valAx>
        <c:axId val="98834688"/>
        <c:scaling>
          <c:orientation val="minMax"/>
        </c:scaling>
        <c:axPos val="l"/>
        <c:majorGridlines>
          <c:spPr>
            <a:ln>
              <a:prstDash val="sysDot"/>
            </a:ln>
          </c:spPr>
        </c:majorGridlines>
        <c:numFmt formatCode="####.0" sourceLinked="1"/>
        <c:tickLblPos val="nextTo"/>
        <c:spPr>
          <a:ln w="9525">
            <a:noFill/>
          </a:ln>
        </c:spPr>
        <c:crossAx val="98833152"/>
        <c:crosses val="autoZero"/>
        <c:crossBetween val="between"/>
        <c:majorUnit val="1"/>
      </c:valAx>
    </c:plotArea>
    <c:legend>
      <c:legendPos val="b"/>
      <c:txPr>
        <a:bodyPr/>
        <a:lstStyle/>
        <a:p>
          <a:pPr>
            <a:defRPr sz="1050"/>
          </a:pPr>
          <a:endParaRPr lang="pl-PL"/>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200"/>
            </a:pPr>
            <a:r>
              <a:rPr lang="pl-PL" sz="1200" b="1" i="0" baseline="0"/>
              <a:t>Jak Pan(i) sądzi, czy można powiedzieć, że Koszalin jest miastem kultury?</a:t>
            </a:r>
            <a:endParaRPr lang="pl-PL" sz="1200"/>
          </a:p>
        </c:rich>
      </c:tx>
    </c:title>
    <c:plotArea>
      <c:layout>
        <c:manualLayout>
          <c:layoutTarget val="inner"/>
          <c:xMode val="edge"/>
          <c:yMode val="edge"/>
          <c:x val="0.15962779166077301"/>
          <c:y val="0.22615411837565194"/>
          <c:w val="0.42549075078190102"/>
          <c:h val="0.71729418680709101"/>
        </c:manualLayout>
      </c:layout>
      <c:pieChart>
        <c:varyColors val="1"/>
        <c:ser>
          <c:idx val="0"/>
          <c:order val="0"/>
          <c:dLbls>
            <c:spPr>
              <a:noFill/>
              <a:ln>
                <a:noFill/>
              </a:ln>
              <a:effectLst/>
            </c:spPr>
            <c:txPr>
              <a:bodyPr wrap="square" lIns="38100" tIns="19050" rIns="38100" bIns="19050" anchor="ctr">
                <a:spAutoFit/>
              </a:bodyPr>
              <a:lstStyle/>
              <a:p>
                <a:pPr>
                  <a:defRPr sz="1100"/>
                </a:pPr>
                <a:endParaRPr lang="pl-PL"/>
              </a:p>
            </c:txPr>
            <c:showPercent val="1"/>
            <c:showLeaderLines val="1"/>
            <c:extLst>
              <c:ext xmlns:c15="http://schemas.microsoft.com/office/drawing/2012/chart" uri="{CE6537A1-D6FC-4f65-9D91-7224C49458BB}"/>
            </c:extLst>
          </c:dLbls>
          <c:cat>
            <c:strRef>
              <c:f>Arkusz1!$B$2:$B$6</c:f>
              <c:strCache>
                <c:ptCount val="5"/>
                <c:pt idx="0">
                  <c:v>Raczej nie</c:v>
                </c:pt>
                <c:pt idx="1">
                  <c:v>Zdecydowanie nie</c:v>
                </c:pt>
                <c:pt idx="2">
                  <c:v>Raczej tak</c:v>
                </c:pt>
                <c:pt idx="3">
                  <c:v>Zdecydowanie tak</c:v>
                </c:pt>
                <c:pt idx="4">
                  <c:v>Nie wiem / trudno powiedzieć</c:v>
                </c:pt>
              </c:strCache>
            </c:strRef>
          </c:cat>
          <c:val>
            <c:numRef>
              <c:f>Arkusz1!$C$2:$C$6</c:f>
              <c:numCache>
                <c:formatCode>###0%</c:formatCode>
                <c:ptCount val="5"/>
                <c:pt idx="0">
                  <c:v>0.10077356957227003</c:v>
                </c:pt>
                <c:pt idx="1">
                  <c:v>3.3749424131074394E-2</c:v>
                </c:pt>
                <c:pt idx="2">
                  <c:v>0.47477699876354312</c:v>
                </c:pt>
                <c:pt idx="3">
                  <c:v>0.33435355188527222</c:v>
                </c:pt>
                <c:pt idx="4">
                  <c:v>5.6346455647835504E-2</c:v>
                </c:pt>
              </c:numCache>
            </c:numRef>
          </c:val>
        </c:ser>
        <c:dLbls>
          <c:showPercent val="1"/>
        </c:dLbls>
        <c:firstSliceAng val="0"/>
      </c:pieChart>
    </c:plotArea>
    <c:legend>
      <c:legendPos val="t"/>
      <c:legendEntry>
        <c:idx val="0"/>
        <c:txPr>
          <a:bodyPr/>
          <a:lstStyle/>
          <a:p>
            <a:pPr>
              <a:defRPr sz="1050"/>
            </a:pPr>
            <a:endParaRPr lang="pl-PL"/>
          </a:p>
        </c:txPr>
      </c:legendEntry>
      <c:legendEntry>
        <c:idx val="1"/>
        <c:txPr>
          <a:bodyPr/>
          <a:lstStyle/>
          <a:p>
            <a:pPr>
              <a:defRPr sz="1050"/>
            </a:pPr>
            <a:endParaRPr lang="pl-PL"/>
          </a:p>
        </c:txPr>
      </c:legendEntry>
      <c:legendEntry>
        <c:idx val="2"/>
        <c:txPr>
          <a:bodyPr/>
          <a:lstStyle/>
          <a:p>
            <a:pPr>
              <a:defRPr sz="1050"/>
            </a:pPr>
            <a:endParaRPr lang="pl-PL"/>
          </a:p>
        </c:txPr>
      </c:legendEntry>
      <c:legendEntry>
        <c:idx val="3"/>
        <c:txPr>
          <a:bodyPr/>
          <a:lstStyle/>
          <a:p>
            <a:pPr>
              <a:defRPr sz="1050"/>
            </a:pPr>
            <a:endParaRPr lang="pl-PL"/>
          </a:p>
        </c:txPr>
      </c:legendEntry>
      <c:legendEntry>
        <c:idx val="4"/>
        <c:txPr>
          <a:bodyPr/>
          <a:lstStyle/>
          <a:p>
            <a:pPr>
              <a:defRPr sz="1050"/>
            </a:pPr>
            <a:endParaRPr lang="pl-PL"/>
          </a:p>
        </c:txPr>
      </c:legendEntry>
      <c:layout>
        <c:manualLayout>
          <c:xMode val="edge"/>
          <c:yMode val="edge"/>
          <c:x val="0.63195207198085002"/>
          <c:y val="0.23917602996254694"/>
          <c:w val="0.32600734552850902"/>
          <c:h val="0.68047061940601317"/>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Cz</a:t>
            </a:r>
            <a:r>
              <a:rPr lang="pl-PL" sz="1200" b="1"/>
              <a:t>y jest Pan(i) usatysfakcjonowany(a) dostępną ofertą kulturalną w mieście?</a:t>
            </a:r>
          </a:p>
          <a:p>
            <a:pPr>
              <a:defRPr sz="1200" b="1" i="0" u="none" strike="noStrike" kern="1200" baseline="0">
                <a:solidFill>
                  <a:schemeClr val="tx1"/>
                </a:solidFill>
                <a:latin typeface="+mn-lt"/>
                <a:ea typeface="+mn-ea"/>
                <a:cs typeface="+mn-cs"/>
              </a:defRPr>
            </a:pPr>
            <a:r>
              <a:rPr lang="pl-PL" sz="1200" b="1" baseline="0"/>
              <a:t> </a:t>
            </a:r>
            <a:endParaRPr lang="en-US" sz="1200" b="1"/>
          </a:p>
        </c:rich>
      </c:tx>
      <c:spPr>
        <a:noFill/>
        <a:ln>
          <a:noFill/>
        </a:ln>
        <a:effectLst/>
      </c:spPr>
    </c:title>
    <c:plotArea>
      <c:layout>
        <c:manualLayout>
          <c:layoutTarget val="inner"/>
          <c:xMode val="edge"/>
          <c:yMode val="edge"/>
          <c:x val="0.12613106694996495"/>
          <c:y val="0.21201798819733517"/>
          <c:w val="0.35803724534433201"/>
          <c:h val="0.71835498269722597"/>
        </c:manualLayout>
      </c:layout>
      <c:pieChart>
        <c:varyColors val="1"/>
        <c:ser>
          <c:idx val="0"/>
          <c:order val="0"/>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dPt>
            <c:idx val="4"/>
            <c:spPr>
              <a:solidFill>
                <a:schemeClr val="accent5"/>
              </a:solidFill>
              <a:ln>
                <a:noFill/>
              </a:ln>
              <a:effectLst/>
            </c:spPr>
          </c:dPt>
          <c:dPt>
            <c:idx val="5"/>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pl-PL"/>
              </a:p>
            </c:txPr>
            <c:showPercent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[Koszalin_CATI_wykresy.xlsx]Arkusz1!$B$15:$B$20</c:f>
              <c:strCache>
                <c:ptCount val="6"/>
                <c:pt idx="0">
                  <c:v>Zdecydowanie nie</c:v>
                </c:pt>
                <c:pt idx="1">
                  <c:v>Raczej nie</c:v>
                </c:pt>
                <c:pt idx="2">
                  <c:v>Ani tak, ani nie</c:v>
                </c:pt>
                <c:pt idx="3">
                  <c:v>Raczej tak</c:v>
                </c:pt>
                <c:pt idx="4">
                  <c:v>Zdecydowanie tak</c:v>
                </c:pt>
                <c:pt idx="5">
                  <c:v>Nie wiem / trudno powiedzieć</c:v>
                </c:pt>
              </c:strCache>
            </c:strRef>
          </c:cat>
          <c:val>
            <c:numRef>
              <c:f>[Koszalin_CATI_wykresy.xlsx]Arkusz1!$C$15:$C$20</c:f>
              <c:numCache>
                <c:formatCode>###0%</c:formatCode>
                <c:ptCount val="6"/>
                <c:pt idx="0">
                  <c:v>4.756207157506822E-2</c:v>
                </c:pt>
                <c:pt idx="1">
                  <c:v>0.11724410144847405</c:v>
                </c:pt>
                <c:pt idx="2">
                  <c:v>8.6672796364325413E-2</c:v>
                </c:pt>
                <c:pt idx="3">
                  <c:v>0.4648641824370881</c:v>
                </c:pt>
                <c:pt idx="4">
                  <c:v>0.23836841123845101</c:v>
                </c:pt>
                <c:pt idx="5">
                  <c:v>4.5288436936587503E-2</c:v>
                </c:pt>
              </c:numCache>
            </c:numRef>
          </c:val>
        </c:ser>
        <c:dLbls>
          <c:showPercent val="1"/>
        </c:dLbls>
        <c:firstSliceAng val="0"/>
      </c:pieChart>
      <c:spPr>
        <a:noFill/>
        <a:ln>
          <a:noFill/>
        </a:ln>
        <a:effectLst/>
      </c:spPr>
    </c:plotArea>
    <c:legend>
      <c:legendPos val="t"/>
      <c:layout>
        <c:manualLayout>
          <c:xMode val="edge"/>
          <c:yMode val="edge"/>
          <c:x val="0.57550206224221978"/>
          <c:y val="0.2088998110904931"/>
          <c:w val="0.3675142273882433"/>
          <c:h val="0.71463697611047039"/>
        </c:manualLayout>
      </c:layout>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pl-PL"/>
        </a:p>
      </c:txPr>
    </c:legend>
    <c:plotVisOnly val="1"/>
    <c:dispBlanksAs val="zero"/>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t>Jak na tle kraju ocenia Pan(i)</a:t>
            </a:r>
            <a:r>
              <a:rPr lang="pl-PL" sz="1200" baseline="0"/>
              <a:t> swoje miasto, jeśli chodzi o siłę środowiska kulturalnego i poziom instytucji kultury?</a:t>
            </a:r>
            <a:endParaRPr lang="pl-PL" sz="1200"/>
          </a:p>
        </c:rich>
      </c:tx>
    </c:title>
    <c:plotArea>
      <c:layout>
        <c:manualLayout>
          <c:layoutTarget val="inner"/>
          <c:xMode val="edge"/>
          <c:yMode val="edge"/>
          <c:x val="0.13118738064718705"/>
          <c:y val="0.224102872557597"/>
          <c:w val="0.34216513633470202"/>
          <c:h val="0.7152201808107318"/>
        </c:manualLayout>
      </c:layout>
      <c:pieChart>
        <c:varyColors val="1"/>
        <c:ser>
          <c:idx val="0"/>
          <c:order val="0"/>
          <c:dLbls>
            <c:spPr>
              <a:noFill/>
              <a:ln>
                <a:noFill/>
              </a:ln>
              <a:effectLst/>
            </c:spPr>
            <c:txPr>
              <a:bodyPr wrap="square" lIns="38100" tIns="19050" rIns="38100" bIns="19050" anchor="ctr">
                <a:spAutoFit/>
              </a:bodyPr>
              <a:lstStyle/>
              <a:p>
                <a:pPr>
                  <a:defRPr sz="1100"/>
                </a:pPr>
                <a:endParaRPr lang="pl-PL"/>
              </a:p>
            </c:txPr>
            <c:showPercent val="1"/>
            <c:showLeaderLines val="1"/>
            <c:extLst>
              <c:ext xmlns:c15="http://schemas.microsoft.com/office/drawing/2012/chart" uri="{CE6537A1-D6FC-4f65-9D91-7224C49458BB}"/>
            </c:extLst>
          </c:dLbls>
          <c:cat>
            <c:strRef>
              <c:f>[Koszalin_CATI_wykresy.xlsx]Arkusz1!$B$25:$B$28</c:f>
              <c:strCache>
                <c:ptCount val="4"/>
                <c:pt idx="0">
                  <c:v>Powyżej przeciętnej</c:v>
                </c:pt>
                <c:pt idx="1">
                  <c:v>Poniżej przeciętnej</c:v>
                </c:pt>
                <c:pt idx="2">
                  <c:v>Mniej więcej na poziomie „średniej krajowej”</c:v>
                </c:pt>
                <c:pt idx="3">
                  <c:v>Nie wiem / trudno powiedzieć</c:v>
                </c:pt>
              </c:strCache>
            </c:strRef>
          </c:cat>
          <c:val>
            <c:numRef>
              <c:f>[Koszalin_CATI_wykresy.xlsx]Arkusz1!$C$25:$C$28</c:f>
              <c:numCache>
                <c:formatCode>###0%</c:formatCode>
                <c:ptCount val="4"/>
                <c:pt idx="0">
                  <c:v>0.16173389157367701</c:v>
                </c:pt>
                <c:pt idx="1">
                  <c:v>0.14276928297488206</c:v>
                </c:pt>
                <c:pt idx="2">
                  <c:v>0.58246873849730862</c:v>
                </c:pt>
                <c:pt idx="3">
                  <c:v>0.113028086954125</c:v>
                </c:pt>
              </c:numCache>
            </c:numRef>
          </c:val>
        </c:ser>
        <c:dLbls>
          <c:showPercent val="1"/>
        </c:dLbls>
        <c:firstSliceAng val="0"/>
      </c:pieChart>
    </c:plotArea>
    <c:legend>
      <c:legendPos val="r"/>
      <c:layout>
        <c:manualLayout>
          <c:xMode val="edge"/>
          <c:yMode val="edge"/>
          <c:x val="0.666555575901849"/>
          <c:y val="0.23989975211431905"/>
          <c:w val="0.27364375964632287"/>
          <c:h val="0.61659123908068625"/>
        </c:manualLayout>
      </c:layout>
      <c:txPr>
        <a:bodyPr/>
        <a:lstStyle/>
        <a:p>
          <a:pPr>
            <a:defRPr sz="1050"/>
          </a:pPr>
          <a:endParaRPr lang="pl-PL"/>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t>Jakie wydarzenia kulturalne w Koszalinie uznałby Pan/Pani za wizytówkę miasta?</a:t>
            </a:r>
          </a:p>
        </c:rich>
      </c:tx>
    </c:title>
    <c:plotArea>
      <c:layout/>
      <c:barChart>
        <c:barDir val="bar"/>
        <c:grouping val="clustered"/>
        <c:ser>
          <c:idx val="0"/>
          <c:order val="0"/>
          <c:dLbls>
            <c:spPr>
              <a:noFill/>
              <a:ln>
                <a:noFill/>
              </a:ln>
              <a:effectLst/>
            </c:spPr>
            <c:dLblPos val="outEnd"/>
            <c:showVal val="1"/>
            <c:extLst>
              <c:ext xmlns:c15="http://schemas.microsoft.com/office/drawing/2012/chart" uri="{CE6537A1-D6FC-4f65-9D91-7224C49458BB}">
                <c15:showLeaderLines val="1"/>
              </c:ext>
            </c:extLst>
          </c:dLbls>
          <c:cat>
            <c:strRef>
              <c:f>Arkusz1!$A$388:$A$397</c:f>
              <c:strCache>
                <c:ptCount val="10"/>
                <c:pt idx="0">
                  <c:v>Letni Festiwal „Kabareton”</c:v>
                </c:pt>
                <c:pt idx="1">
                  <c:v>Festiwal Debiutów Filmowych „Młodzi i Film”</c:v>
                </c:pt>
                <c:pt idx="2">
                  <c:v>Europejski Festiwal Filmowy „Integracja Ty i Ja”</c:v>
                </c:pt>
                <c:pt idx="3">
                  <c:v>Międzynarodowy Festiwal Organowy</c:v>
                </c:pt>
                <c:pt idx="4">
                  <c:v>Festiwal „Na Fali”</c:v>
                </c:pt>
                <c:pt idx="5">
                  <c:v>Festiwal Rockowy „Generacja”</c:v>
                </c:pt>
                <c:pt idx="6">
                  <c:v>Ogólnopolski Festiwal Piosenki Aktorskiej „Reflektor”</c:v>
                </c:pt>
                <c:pt idx="8">
                  <c:v>Inne</c:v>
                </c:pt>
                <c:pt idx="9">
                  <c:v>Nie wiem / trudno powiedzieć</c:v>
                </c:pt>
              </c:strCache>
            </c:strRef>
          </c:cat>
          <c:val>
            <c:numRef>
              <c:f>Arkusz1!$B$388:$B$397</c:f>
              <c:numCache>
                <c:formatCode>0%</c:formatCode>
                <c:ptCount val="10"/>
                <c:pt idx="0">
                  <c:v>0.3600000000000001</c:v>
                </c:pt>
                <c:pt idx="1">
                  <c:v>0.26</c:v>
                </c:pt>
                <c:pt idx="2">
                  <c:v>7.0000000000000021E-2</c:v>
                </c:pt>
                <c:pt idx="3">
                  <c:v>0.05</c:v>
                </c:pt>
                <c:pt idx="4">
                  <c:v>3.0000000000000002E-2</c:v>
                </c:pt>
                <c:pt idx="5">
                  <c:v>3.0000000000000002E-2</c:v>
                </c:pt>
                <c:pt idx="6">
                  <c:v>1.0000000000000004E-2</c:v>
                </c:pt>
                <c:pt idx="8">
                  <c:v>6.0000000000000019E-2</c:v>
                </c:pt>
                <c:pt idx="9">
                  <c:v>0.12000000000000002</c:v>
                </c:pt>
              </c:numCache>
            </c:numRef>
          </c:val>
        </c:ser>
        <c:dLbls>
          <c:showVal val="1"/>
        </c:dLbls>
        <c:gapWidth val="50"/>
        <c:overlap val="-25"/>
        <c:axId val="96134272"/>
        <c:axId val="96135808"/>
      </c:barChart>
      <c:catAx>
        <c:axId val="96134272"/>
        <c:scaling>
          <c:orientation val="maxMin"/>
        </c:scaling>
        <c:axPos val="l"/>
        <c:numFmt formatCode="General" sourceLinked="0"/>
        <c:majorTickMark val="none"/>
        <c:tickLblPos val="nextTo"/>
        <c:crossAx val="96135808"/>
        <c:crosses val="autoZero"/>
        <c:auto val="1"/>
        <c:lblAlgn val="ctr"/>
        <c:lblOffset val="100"/>
      </c:catAx>
      <c:valAx>
        <c:axId val="96135808"/>
        <c:scaling>
          <c:orientation val="minMax"/>
        </c:scaling>
        <c:axPos val="t"/>
        <c:majorGridlines/>
        <c:minorGridlines/>
        <c:numFmt formatCode="0%" sourceLinked="1"/>
        <c:majorTickMark val="none"/>
        <c:tickLblPos val="nextTo"/>
        <c:spPr>
          <a:ln w="9525">
            <a:noFill/>
          </a:ln>
        </c:spPr>
        <c:crossAx val="96134272"/>
        <c:crosses val="autoZero"/>
        <c:crossBetween val="between"/>
        <c:majorUnit val="0.1"/>
        <c:minorUnit val="0.05"/>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0"/>
  <c:chart>
    <c:title>
      <c:tx>
        <c:rich>
          <a:bodyPr/>
          <a:lstStyle/>
          <a:p>
            <a:pPr>
              <a:defRPr/>
            </a:pPr>
            <a:r>
              <a:rPr lang="pl-PL" sz="1200"/>
              <a:t>Dlaczego nie korzysta Pan(i) częściej niż obecnie z wydarzeń kulturalnych w mieście?</a:t>
            </a:r>
          </a:p>
        </c:rich>
      </c:tx>
    </c:title>
    <c:plotArea>
      <c:layout>
        <c:manualLayout>
          <c:layoutTarget val="inner"/>
          <c:xMode val="edge"/>
          <c:yMode val="edge"/>
          <c:x val="0.4358005249343832"/>
          <c:y val="0.24272664192838"/>
          <c:w val="0.52174683188912618"/>
          <c:h val="0.71512776420188917"/>
        </c:manualLayout>
      </c:layout>
      <c:barChart>
        <c:barDir val="bar"/>
        <c:grouping val="clustered"/>
        <c:ser>
          <c:idx val="0"/>
          <c:order val="0"/>
          <c:cat>
            <c:strRef>
              <c:f>Arkusz1!$B$358:$B$370</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Arkusz1!$C$358:$C$370</c:f>
              <c:numCache>
                <c:formatCode>###0%</c:formatCode>
                <c:ptCount val="13"/>
                <c:pt idx="0">
                  <c:v>0.5631472666450924</c:v>
                </c:pt>
                <c:pt idx="1">
                  <c:v>0.23223832118687307</c:v>
                </c:pt>
                <c:pt idx="2">
                  <c:v>0.1869760638472461</c:v>
                </c:pt>
                <c:pt idx="3">
                  <c:v>0.15639465310350001</c:v>
                </c:pt>
                <c:pt idx="4">
                  <c:v>0.138573616830692</c:v>
                </c:pt>
                <c:pt idx="5">
                  <c:v>0.13468450403281695</c:v>
                </c:pt>
                <c:pt idx="6">
                  <c:v>0.100640431020038</c:v>
                </c:pt>
                <c:pt idx="7">
                  <c:v>6.8967441174520819E-2</c:v>
                </c:pt>
                <c:pt idx="8">
                  <c:v>6.3755346332555585E-2</c:v>
                </c:pt>
                <c:pt idx="9">
                  <c:v>6.0998925209321916E-2</c:v>
                </c:pt>
                <c:pt idx="10">
                  <c:v>5.1127675945592012E-2</c:v>
                </c:pt>
                <c:pt idx="11">
                  <c:v>2.2987920197498912E-2</c:v>
                </c:pt>
                <c:pt idx="12">
                  <c:v>1.768002176772451E-2</c:v>
                </c:pt>
              </c:numCache>
            </c:numRef>
          </c:val>
        </c:ser>
        <c:gapWidth val="50"/>
        <c:axId val="95964544"/>
        <c:axId val="95974528"/>
      </c:barChart>
      <c:catAx>
        <c:axId val="95964544"/>
        <c:scaling>
          <c:orientation val="maxMin"/>
        </c:scaling>
        <c:axPos val="l"/>
        <c:numFmt formatCode="General" sourceLinked="0"/>
        <c:majorTickMark val="none"/>
        <c:tickLblPos val="nextTo"/>
        <c:txPr>
          <a:bodyPr/>
          <a:lstStyle/>
          <a:p>
            <a:pPr>
              <a:defRPr sz="1000"/>
            </a:pPr>
            <a:endParaRPr lang="pl-PL"/>
          </a:p>
        </c:txPr>
        <c:crossAx val="95974528"/>
        <c:crosses val="autoZero"/>
        <c:auto val="1"/>
        <c:lblAlgn val="ctr"/>
        <c:lblOffset val="100"/>
      </c:catAx>
      <c:valAx>
        <c:axId val="95974528"/>
        <c:scaling>
          <c:orientation val="minMax"/>
        </c:scaling>
        <c:axPos val="t"/>
        <c:majorGridlines/>
        <c:minorGridlines/>
        <c:numFmt formatCode="###0%" sourceLinked="1"/>
        <c:majorTickMark val="none"/>
        <c:tickLblPos val="nextTo"/>
        <c:crossAx val="95964544"/>
        <c:crosses val="autoZero"/>
        <c:crossBetween val="between"/>
        <c:minorUnit val="0.05"/>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b="1" i="0" baseline="0"/>
              <a:t>Dlaczego nie korzysta Pan(i) częściej niż obecnie z wydarzeń kulturalnych w mieście? / PŁEĆ</a:t>
            </a:r>
            <a:endParaRPr lang="pl-PL" sz="1200"/>
          </a:p>
        </c:rich>
      </c:tx>
    </c:title>
    <c:plotArea>
      <c:layout>
        <c:manualLayout>
          <c:layoutTarget val="inner"/>
          <c:xMode val="edge"/>
          <c:yMode val="edge"/>
          <c:x val="0.3731177443986442"/>
          <c:y val="0.16609402241985896"/>
          <c:w val="0.59523458271119678"/>
          <c:h val="0.76691906317465719"/>
        </c:manualLayout>
      </c:layout>
      <c:barChart>
        <c:barDir val="bar"/>
        <c:grouping val="clustered"/>
        <c:ser>
          <c:idx val="0"/>
          <c:order val="0"/>
          <c:tx>
            <c:v>Kobiety</c:v>
          </c:tx>
          <c:dLbls>
            <c:dLbl>
              <c:idx val="10"/>
              <c:layout>
                <c:manualLayout>
                  <c:x val="-2.1609940572663417E-3"/>
                  <c:y val="0"/>
                </c:manualLayout>
              </c:layout>
              <c:dLblPos val="outEnd"/>
              <c:showVal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pl-PL"/>
              </a:p>
            </c:txPr>
            <c:dLblPos val="outEnd"/>
            <c:showVal val="1"/>
            <c:extLst>
              <c:ext xmlns:c15="http://schemas.microsoft.com/office/drawing/2012/chart" uri="{CE6537A1-D6FC-4f65-9D91-7224C49458BB}">
                <c15:showLeaderLines val="1"/>
              </c:ext>
            </c:extLst>
          </c:dLbls>
          <c:cat>
            <c:strRef>
              <c:f>Arkusz1!$B$372:$B$384</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Arkusz1!$C$372:$C$384</c:f>
              <c:numCache>
                <c:formatCode>###0%</c:formatCode>
                <c:ptCount val="13"/>
                <c:pt idx="0">
                  <c:v>0.52354156720130796</c:v>
                </c:pt>
                <c:pt idx="1">
                  <c:v>0.30573927163678799</c:v>
                </c:pt>
                <c:pt idx="2">
                  <c:v>0.23099835643071706</c:v>
                </c:pt>
                <c:pt idx="3">
                  <c:v>0.16740791583087206</c:v>
                </c:pt>
                <c:pt idx="4">
                  <c:v>0.17425466962983197</c:v>
                </c:pt>
                <c:pt idx="5">
                  <c:v>0.12937257709482994</c:v>
                </c:pt>
                <c:pt idx="6">
                  <c:v>8.6141715961138621E-2</c:v>
                </c:pt>
                <c:pt idx="7">
                  <c:v>5.0419331606942418E-2</c:v>
                </c:pt>
                <c:pt idx="8">
                  <c:v>9.5096327448648058E-2</c:v>
                </c:pt>
                <c:pt idx="9">
                  <c:v>5.3096341778497709E-2</c:v>
                </c:pt>
                <c:pt idx="10">
                  <c:v>2.6949295238785399E-2</c:v>
                </c:pt>
                <c:pt idx="11">
                  <c:v>1.5628160386915103E-2</c:v>
                </c:pt>
                <c:pt idx="12">
                  <c:v>1.5022278146653502E-2</c:v>
                </c:pt>
              </c:numCache>
            </c:numRef>
          </c:val>
        </c:ser>
        <c:ser>
          <c:idx val="1"/>
          <c:order val="1"/>
          <c:tx>
            <c:v>Mężczyźni</c:v>
          </c:tx>
          <c:dLbls>
            <c:spPr>
              <a:noFill/>
              <a:ln>
                <a:noFill/>
              </a:ln>
              <a:effectLst/>
            </c:spPr>
            <c:txPr>
              <a:bodyPr wrap="square" lIns="38100" tIns="19050" rIns="38100" bIns="19050" anchor="ctr">
                <a:spAutoFit/>
              </a:bodyPr>
              <a:lstStyle/>
              <a:p>
                <a:pPr>
                  <a:defRPr sz="900"/>
                </a:pPr>
                <a:endParaRPr lang="pl-PL"/>
              </a:p>
            </c:txPr>
            <c:dLblPos val="outEnd"/>
            <c:showVal val="1"/>
            <c:extLst>
              <c:ext xmlns:c15="http://schemas.microsoft.com/office/drawing/2012/chart" uri="{CE6537A1-D6FC-4f65-9D91-7224C49458BB}">
                <c15:showLeaderLines val="1"/>
              </c:ext>
            </c:extLst>
          </c:dLbls>
          <c:cat>
            <c:strRef>
              <c:f>Arkusz1!$B$372:$B$384</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Arkusz1!$D$372:$D$384</c:f>
              <c:numCache>
                <c:formatCode>###0%</c:formatCode>
                <c:ptCount val="13"/>
                <c:pt idx="0">
                  <c:v>0.60900621920762699</c:v>
                </c:pt>
                <c:pt idx="1">
                  <c:v>0.14713247411637106</c:v>
                </c:pt>
                <c:pt idx="2">
                  <c:v>0.13600319237595004</c:v>
                </c:pt>
                <c:pt idx="3">
                  <c:v>0.14364253156377205</c:v>
                </c:pt>
                <c:pt idx="4">
                  <c:v>9.7258964377220342E-2</c:v>
                </c:pt>
                <c:pt idx="5">
                  <c:v>0.14083511894142506</c:v>
                </c:pt>
                <c:pt idx="6">
                  <c:v>0.11742831497213002</c:v>
                </c:pt>
                <c:pt idx="7">
                  <c:v>9.044406925405965E-2</c:v>
                </c:pt>
                <c:pt idx="8">
                  <c:v>2.7466009533799109E-2</c:v>
                </c:pt>
                <c:pt idx="9">
                  <c:v>7.0149229427279025E-2</c:v>
                </c:pt>
                <c:pt idx="10">
                  <c:v>7.9123525771346334E-2</c:v>
                </c:pt>
                <c:pt idx="11">
                  <c:v>3.1509695617832296E-2</c:v>
                </c:pt>
                <c:pt idx="12">
                  <c:v>2.0757390438237603E-2</c:v>
                </c:pt>
              </c:numCache>
            </c:numRef>
          </c:val>
        </c:ser>
        <c:dLbls>
          <c:showVal val="1"/>
        </c:dLbls>
        <c:gapWidth val="100"/>
        <c:axId val="96003968"/>
        <c:axId val="96005504"/>
      </c:barChart>
      <c:catAx>
        <c:axId val="96003968"/>
        <c:scaling>
          <c:orientation val="minMax"/>
        </c:scaling>
        <c:axPos val="l"/>
        <c:numFmt formatCode="General" sourceLinked="0"/>
        <c:majorTickMark val="none"/>
        <c:tickLblPos val="nextTo"/>
        <c:txPr>
          <a:bodyPr/>
          <a:lstStyle/>
          <a:p>
            <a:pPr>
              <a:defRPr sz="900"/>
            </a:pPr>
            <a:endParaRPr lang="pl-PL"/>
          </a:p>
        </c:txPr>
        <c:crossAx val="96005504"/>
        <c:crosses val="autoZero"/>
        <c:auto val="1"/>
        <c:lblAlgn val="ctr"/>
        <c:lblOffset val="100"/>
      </c:catAx>
      <c:valAx>
        <c:axId val="96005504"/>
        <c:scaling>
          <c:orientation val="minMax"/>
        </c:scaling>
        <c:axPos val="b"/>
        <c:majorGridlines>
          <c:spPr>
            <a:ln>
              <a:prstDash val="sysDot"/>
            </a:ln>
          </c:spPr>
        </c:majorGridlines>
        <c:minorGridlines/>
        <c:numFmt formatCode="###0%" sourceLinked="1"/>
        <c:tickLblPos val="nextTo"/>
        <c:crossAx val="96003968"/>
        <c:crosses val="autoZero"/>
        <c:crossBetween val="between"/>
        <c:minorUnit val="0.05"/>
      </c:valAx>
    </c:plotArea>
    <c:legend>
      <c:legendPos val="t"/>
      <c:layout>
        <c:manualLayout>
          <c:xMode val="edge"/>
          <c:yMode val="edge"/>
          <c:x val="0.37744653879367213"/>
          <c:y val="0.11629877200601706"/>
          <c:w val="0.245106922412656"/>
          <c:h val="5.7819067580581231E-2"/>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l-PL" sz="1200" b="1" i="0" baseline="0"/>
              <a:t>Dlaczego nie korzysta Pan(i) częściej niż obecnie z wydarzeń kulturalnych w mieście? / WIEK</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pl-PL" sz="1200"/>
          </a:p>
        </c:rich>
      </c:tx>
    </c:title>
    <c:plotArea>
      <c:layout>
        <c:manualLayout>
          <c:layoutTarget val="inner"/>
          <c:xMode val="edge"/>
          <c:yMode val="edge"/>
          <c:x val="7.2896443500118133E-2"/>
          <c:y val="0.14757963043564301"/>
          <c:w val="0.75743934785929501"/>
          <c:h val="0.44605679315211211"/>
        </c:manualLayout>
      </c:layout>
      <c:barChart>
        <c:barDir val="col"/>
        <c:grouping val="clustered"/>
        <c:ser>
          <c:idx val="0"/>
          <c:order val="0"/>
          <c:tx>
            <c:strRef>
              <c:f>Arkusz1!$C$400</c:f>
              <c:strCache>
                <c:ptCount val="1"/>
                <c:pt idx="0">
                  <c:v>15-29</c:v>
                </c:pt>
              </c:strCache>
            </c:strRef>
          </c:tx>
          <c:cat>
            <c:strRef>
              <c:f>Arkusz1!$B$401:$B$413</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Arkusz1!$C$401:$C$413</c:f>
              <c:numCache>
                <c:formatCode>###0%</c:formatCode>
                <c:ptCount val="13"/>
                <c:pt idx="0">
                  <c:v>0.68807050479047505</c:v>
                </c:pt>
                <c:pt idx="1">
                  <c:v>0.142928827408664</c:v>
                </c:pt>
                <c:pt idx="2">
                  <c:v>1.4709665153087905E-2</c:v>
                </c:pt>
                <c:pt idx="3">
                  <c:v>0.25099522311995409</c:v>
                </c:pt>
                <c:pt idx="4">
                  <c:v>3.2298261254950007E-2</c:v>
                </c:pt>
                <c:pt idx="5">
                  <c:v>0.20074613548689216</c:v>
                </c:pt>
                <c:pt idx="6">
                  <c:v>0.24722098748404506</c:v>
                </c:pt>
                <c:pt idx="7">
                  <c:v>0.18015807627316696</c:v>
                </c:pt>
                <c:pt idx="8">
                  <c:v>7.4780127365412424E-2</c:v>
                </c:pt>
                <c:pt idx="9">
                  <c:v>9.038891932172477E-2</c:v>
                </c:pt>
                <c:pt idx="10">
                  <c:v>0.13101439297971301</c:v>
                </c:pt>
                <c:pt idx="11">
                  <c:v>6.5649008712830711E-3</c:v>
                </c:pt>
                <c:pt idx="12">
                  <c:v>1.8140629443761703E-2</c:v>
                </c:pt>
              </c:numCache>
            </c:numRef>
          </c:val>
        </c:ser>
        <c:ser>
          <c:idx val="1"/>
          <c:order val="1"/>
          <c:tx>
            <c:strRef>
              <c:f>Arkusz1!$D$400</c:f>
              <c:strCache>
                <c:ptCount val="1"/>
                <c:pt idx="0">
                  <c:v>30-44</c:v>
                </c:pt>
              </c:strCache>
            </c:strRef>
          </c:tx>
          <c:cat>
            <c:strRef>
              <c:f>Arkusz1!$B$401:$B$413</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Arkusz1!$D$401:$D$413</c:f>
              <c:numCache>
                <c:formatCode>###0%</c:formatCode>
                <c:ptCount val="13"/>
                <c:pt idx="0">
                  <c:v>0.7025672244986001</c:v>
                </c:pt>
                <c:pt idx="1">
                  <c:v>0.15893526872438707</c:v>
                </c:pt>
                <c:pt idx="2">
                  <c:v>9.9633844701359428E-3</c:v>
                </c:pt>
                <c:pt idx="3">
                  <c:v>0.20743508387540815</c:v>
                </c:pt>
                <c:pt idx="4">
                  <c:v>0.151373738332859</c:v>
                </c:pt>
                <c:pt idx="5">
                  <c:v>8.036456867346535E-2</c:v>
                </c:pt>
                <c:pt idx="6">
                  <c:v>0.10314622078050706</c:v>
                </c:pt>
                <c:pt idx="7">
                  <c:v>7.4198544736261432E-2</c:v>
                </c:pt>
                <c:pt idx="8">
                  <c:v>5.5430278765970405E-2</c:v>
                </c:pt>
                <c:pt idx="9">
                  <c:v>6.0265249163065401E-2</c:v>
                </c:pt>
                <c:pt idx="10">
                  <c:v>2.4403023361268004E-2</c:v>
                </c:pt>
                <c:pt idx="11">
                  <c:v>4.9574404653448617E-2</c:v>
                </c:pt>
                <c:pt idx="12">
                  <c:v>2.3215678909829309E-2</c:v>
                </c:pt>
              </c:numCache>
            </c:numRef>
          </c:val>
        </c:ser>
        <c:ser>
          <c:idx val="2"/>
          <c:order val="2"/>
          <c:tx>
            <c:strRef>
              <c:f>Arkusz1!$E$400</c:f>
              <c:strCache>
                <c:ptCount val="1"/>
                <c:pt idx="0">
                  <c:v>45-64</c:v>
                </c:pt>
              </c:strCache>
            </c:strRef>
          </c:tx>
          <c:cat>
            <c:strRef>
              <c:f>Arkusz1!$B$401:$B$413</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Arkusz1!$E$401:$E$413</c:f>
              <c:numCache>
                <c:formatCode>###0%</c:formatCode>
                <c:ptCount val="13"/>
                <c:pt idx="0">
                  <c:v>0.56710727156100105</c:v>
                </c:pt>
                <c:pt idx="1">
                  <c:v>0.36533749256251402</c:v>
                </c:pt>
                <c:pt idx="2">
                  <c:v>0.1632978035126221</c:v>
                </c:pt>
                <c:pt idx="3">
                  <c:v>9.2482168884545177E-2</c:v>
                </c:pt>
                <c:pt idx="4">
                  <c:v>0.16647353613382801</c:v>
                </c:pt>
                <c:pt idx="5">
                  <c:v>0.16549931365226911</c:v>
                </c:pt>
                <c:pt idx="6">
                  <c:v>6.2421111132912412E-2</c:v>
                </c:pt>
                <c:pt idx="7">
                  <c:v>2.6891326521823123E-2</c:v>
                </c:pt>
                <c:pt idx="8">
                  <c:v>6.5903125160088602E-2</c:v>
                </c:pt>
                <c:pt idx="9">
                  <c:v>8.5286723183907232E-2</c:v>
                </c:pt>
                <c:pt idx="10">
                  <c:v>4.846579746816651E-2</c:v>
                </c:pt>
                <c:pt idx="11">
                  <c:v>2.1177686318238902E-2</c:v>
                </c:pt>
                <c:pt idx="12">
                  <c:v>2.4402937025185215E-2</c:v>
                </c:pt>
              </c:numCache>
            </c:numRef>
          </c:val>
        </c:ser>
        <c:ser>
          <c:idx val="3"/>
          <c:order val="3"/>
          <c:tx>
            <c:strRef>
              <c:f>Arkusz1!$F$400</c:f>
              <c:strCache>
                <c:ptCount val="1"/>
                <c:pt idx="0">
                  <c:v>65 i więcej</c:v>
                </c:pt>
              </c:strCache>
            </c:strRef>
          </c:tx>
          <c:cat>
            <c:strRef>
              <c:f>Arkusz1!$B$401:$B$413</c:f>
              <c:strCache>
                <c:ptCount val="13"/>
                <c:pt idx="0">
                  <c:v>Brak czasu</c:v>
                </c:pt>
                <c:pt idx="1">
                  <c:v>Koszt związany z uczestnictwem</c:v>
                </c:pt>
                <c:pt idx="2">
                  <c:v>Stan zdrowia | wiek</c:v>
                </c:pt>
                <c:pt idx="3">
                  <c:v>Brak informacji o tym co dzieje się w mieście</c:v>
                </c:pt>
                <c:pt idx="4">
                  <c:v>Sytuacja życiowa | rodzinna</c:v>
                </c:pt>
                <c:pt idx="5">
                  <c:v>Spędzam czas poza miastem</c:v>
                </c:pt>
                <c:pt idx="6">
                  <c:v>Zbyt mało wydarzeń</c:v>
                </c:pt>
                <c:pt idx="7">
                  <c:v>Brak zainteresowania ofertą</c:v>
                </c:pt>
                <c:pt idx="8">
                  <c:v>Wolę spędzać czas w domu</c:v>
                </c:pt>
                <c:pt idx="9">
                  <c:v>Odległość od miejsca zamieszkania</c:v>
                </c:pt>
                <c:pt idx="10">
                  <c:v>Niski poziom artystyczny</c:v>
                </c:pt>
                <c:pt idx="11">
                  <c:v>Nie wiem | trudno powiedzieć</c:v>
                </c:pt>
                <c:pt idx="12">
                  <c:v>Powtarzalność wydarzeń</c:v>
                </c:pt>
              </c:strCache>
            </c:strRef>
          </c:cat>
          <c:val>
            <c:numRef>
              <c:f>Arkusz1!$F$401:$F$413</c:f>
              <c:numCache>
                <c:formatCode>###0%</c:formatCode>
                <c:ptCount val="13"/>
                <c:pt idx="0">
                  <c:v>0.26320804944737691</c:v>
                </c:pt>
                <c:pt idx="1">
                  <c:v>0.21022726251090407</c:v>
                </c:pt>
                <c:pt idx="2">
                  <c:v>0.60751256647032181</c:v>
                </c:pt>
                <c:pt idx="3">
                  <c:v>0.10044496634461</c:v>
                </c:pt>
                <c:pt idx="4">
                  <c:v>0.174074172663229</c:v>
                </c:pt>
                <c:pt idx="5">
                  <c:v>0.10230321665334798</c:v>
                </c:pt>
                <c:pt idx="6">
                  <c:v>2.4704556365881997E-2</c:v>
                </c:pt>
                <c:pt idx="7">
                  <c:v>2.6386288449222899E-2</c:v>
                </c:pt>
                <c:pt idx="8">
                  <c:v>6.1818514147149527E-2</c:v>
                </c:pt>
                <c:pt idx="9">
                  <c:v>0</c:v>
                </c:pt>
                <c:pt idx="10">
                  <c:v>1.9827946217644502E-2</c:v>
                </c:pt>
                <c:pt idx="11">
                  <c:v>5.1077074132828129E-3</c:v>
                </c:pt>
                <c:pt idx="12">
                  <c:v>0</c:v>
                </c:pt>
              </c:numCache>
            </c:numRef>
          </c:val>
        </c:ser>
        <c:gapWidth val="100"/>
        <c:axId val="96393088"/>
        <c:axId val="96394624"/>
      </c:barChart>
      <c:catAx>
        <c:axId val="96393088"/>
        <c:scaling>
          <c:orientation val="minMax"/>
        </c:scaling>
        <c:axPos val="b"/>
        <c:numFmt formatCode="General" sourceLinked="0"/>
        <c:majorTickMark val="none"/>
        <c:tickLblPos val="nextTo"/>
        <c:crossAx val="96394624"/>
        <c:crosses val="autoZero"/>
        <c:auto val="1"/>
        <c:lblAlgn val="ctr"/>
        <c:lblOffset val="100"/>
      </c:catAx>
      <c:valAx>
        <c:axId val="96394624"/>
        <c:scaling>
          <c:orientation val="minMax"/>
        </c:scaling>
        <c:axPos val="l"/>
        <c:majorGridlines/>
        <c:numFmt formatCode="###0%" sourceLinked="1"/>
        <c:majorTickMark val="none"/>
        <c:tickLblPos val="nextTo"/>
        <c:crossAx val="96393088"/>
        <c:crosses val="autoZero"/>
        <c:crossBetween val="between"/>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0.45425</cdr:x>
      <cdr:y>0.0245</cdr:y>
    </cdr:from>
    <cdr:to>
      <cdr:x>0.55142</cdr:x>
      <cdr:y>0.20827</cdr:y>
    </cdr:to>
    <cdr:sp macro="" textlink="">
      <cdr:nvSpPr>
        <cdr:cNvPr id="2" name="pole tekstowe 1"/>
        <cdr:cNvSpPr txBox="1"/>
      </cdr:nvSpPr>
      <cdr:spPr>
        <a:xfrm xmlns:a="http://schemas.openxmlformats.org/drawingml/2006/main">
          <a:off x="4274820" y="1219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AA06-0AA5-4C1A-BAFC-9B50E6C7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2988</Words>
  <Characters>17928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Celiński</dc:creator>
  <cp:lastModifiedBy>anna.janiel</cp:lastModifiedBy>
  <cp:revision>2</cp:revision>
  <cp:lastPrinted>2016-01-11T10:31:00Z</cp:lastPrinted>
  <dcterms:created xsi:type="dcterms:W3CDTF">2016-11-04T10:40:00Z</dcterms:created>
  <dcterms:modified xsi:type="dcterms:W3CDTF">2016-11-04T10:40:00Z</dcterms:modified>
</cp:coreProperties>
</file>